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5FE51">
      <w:pPr>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  合同条款及格式</w:t>
      </w:r>
      <w:bookmarkStart w:id="4" w:name="_GoBack"/>
      <w:bookmarkEnd w:id="4"/>
    </w:p>
    <w:p w14:paraId="57398C69">
      <w:pPr>
        <w:spacing w:line="560" w:lineRule="exact"/>
        <w:rPr>
          <w:rFonts w:hint="eastAsia" w:ascii="黑体" w:hAnsi="黑体" w:eastAsia="黑体" w:cs="黑体"/>
          <w:color w:val="auto"/>
          <w:sz w:val="32"/>
          <w:szCs w:val="32"/>
          <w:highlight w:val="none"/>
          <w:lang w:val="en-US" w:eastAsia="zh-CN"/>
        </w:rPr>
      </w:pPr>
    </w:p>
    <w:p w14:paraId="554EDC56">
      <w:pPr>
        <w:spacing w:line="560" w:lineRule="exact"/>
        <w:rPr>
          <w:rFonts w:hint="eastAsia" w:ascii="黑体" w:hAnsi="黑体" w:eastAsia="黑体" w:cs="黑体"/>
          <w:color w:val="auto"/>
          <w:sz w:val="32"/>
          <w:szCs w:val="32"/>
          <w:highlight w:val="none"/>
          <w:lang w:val="en-US" w:eastAsia="zh-CN"/>
        </w:rPr>
      </w:pPr>
    </w:p>
    <w:p w14:paraId="7CFBD873">
      <w:pPr>
        <w:spacing w:before="1" w:line="600" w:lineRule="exact"/>
        <w:jc w:val="center"/>
        <w:rPr>
          <w:rFonts w:ascii="宋体" w:hAnsi="宋体" w:eastAsia="宋体" w:cs="宋体"/>
          <w:b/>
          <w:color w:val="auto"/>
          <w:spacing w:val="42"/>
          <w:sz w:val="44"/>
          <w:szCs w:val="44"/>
          <w:highlight w:val="none"/>
        </w:rPr>
      </w:pPr>
      <w:r>
        <w:rPr>
          <w:rFonts w:hint="eastAsia" w:ascii="宋体" w:hAnsi="宋体" w:eastAsia="宋体" w:cs="宋体"/>
          <w:b/>
          <w:color w:val="auto"/>
          <w:spacing w:val="42"/>
          <w:sz w:val="44"/>
          <w:szCs w:val="44"/>
          <w:highlight w:val="none"/>
        </w:rPr>
        <w:t>工程施工过程造价咨询合同</w:t>
      </w:r>
    </w:p>
    <w:p w14:paraId="2102B538">
      <w:pPr>
        <w:spacing w:before="1" w:line="600" w:lineRule="exact"/>
        <w:jc w:val="center"/>
        <w:rPr>
          <w:rFonts w:ascii="宋体" w:hAnsi="宋体" w:eastAsia="宋体"/>
          <w:b/>
          <w:bCs/>
          <w:color w:val="auto"/>
          <w:sz w:val="36"/>
          <w:szCs w:val="36"/>
          <w:highlight w:val="none"/>
        </w:rPr>
      </w:pPr>
    </w:p>
    <w:p w14:paraId="5AB0F457">
      <w:pPr>
        <w:spacing w:before="1" w:line="600" w:lineRule="exact"/>
        <w:jc w:val="center"/>
        <w:rPr>
          <w:rFonts w:ascii="宋体" w:hAnsi="宋体" w:eastAsia="宋体" w:cs="宋体"/>
          <w:b/>
          <w:color w:val="auto"/>
          <w:spacing w:val="42"/>
          <w:sz w:val="36"/>
          <w:szCs w:val="36"/>
          <w:highlight w:val="none"/>
        </w:rPr>
      </w:pPr>
      <w:r>
        <w:rPr>
          <w:rFonts w:hint="eastAsia" w:ascii="宋体" w:hAnsi="宋体" w:eastAsia="宋体"/>
          <w:b/>
          <w:bCs/>
          <w:color w:val="auto"/>
          <w:sz w:val="36"/>
          <w:szCs w:val="36"/>
          <w:highlight w:val="none"/>
        </w:rPr>
        <w:t>（合同编号：           ）</w:t>
      </w:r>
    </w:p>
    <w:p w14:paraId="2AEB7D27">
      <w:pPr>
        <w:spacing w:line="600" w:lineRule="exact"/>
        <w:jc w:val="center"/>
        <w:rPr>
          <w:rFonts w:ascii="宋体" w:hAnsi="宋体" w:eastAsia="宋体"/>
          <w:color w:val="auto"/>
          <w:sz w:val="36"/>
          <w:szCs w:val="36"/>
          <w:highlight w:val="none"/>
        </w:rPr>
      </w:pPr>
    </w:p>
    <w:p w14:paraId="4BF0278F">
      <w:pPr>
        <w:spacing w:line="600" w:lineRule="exact"/>
        <w:rPr>
          <w:rFonts w:ascii="宋体" w:hAnsi="宋体" w:eastAsia="宋体" w:cs="宋体"/>
          <w:b/>
          <w:bCs/>
          <w:color w:val="auto"/>
          <w:sz w:val="36"/>
          <w:highlight w:val="none"/>
        </w:rPr>
      </w:pPr>
    </w:p>
    <w:p w14:paraId="492C2535">
      <w:pPr>
        <w:spacing w:line="600" w:lineRule="exact"/>
        <w:ind w:left="2216" w:leftChars="195" w:hanging="1807" w:hangingChars="500"/>
        <w:rPr>
          <w:rFonts w:ascii="宋体" w:hAnsi="宋体" w:eastAsia="宋体" w:cs="宋体"/>
          <w:b/>
          <w:bCs/>
          <w:color w:val="auto"/>
          <w:sz w:val="36"/>
          <w:highlight w:val="none"/>
        </w:rPr>
      </w:pPr>
    </w:p>
    <w:p w14:paraId="3440CA66">
      <w:pPr>
        <w:spacing w:line="600" w:lineRule="exact"/>
        <w:ind w:firstLine="361" w:firstLineChars="100"/>
        <w:rPr>
          <w:color w:val="auto"/>
          <w:highlight w:val="none"/>
        </w:rPr>
      </w:pPr>
      <w:r>
        <w:rPr>
          <w:rFonts w:hint="eastAsia" w:ascii="宋体" w:hAnsi="宋体" w:eastAsia="宋体" w:cs="宋体"/>
          <w:b/>
          <w:bCs/>
          <w:color w:val="auto"/>
          <w:sz w:val="36"/>
          <w:highlight w:val="none"/>
        </w:rPr>
        <w:t>工程名称：</w:t>
      </w:r>
      <w:r>
        <w:rPr>
          <w:rFonts w:hint="eastAsia" w:ascii="方正小标宋简体" w:hAnsi="方正小标宋简体" w:eastAsia="方正小标宋简体" w:cs="方正小标宋简体"/>
          <w:bCs/>
          <w:color w:val="auto"/>
          <w:sz w:val="36"/>
          <w:szCs w:val="36"/>
          <w:highlight w:val="none"/>
        </w:rPr>
        <w:t>河池市金城江城区排水防涝管网工程</w:t>
      </w:r>
      <w:r>
        <w:rPr>
          <w:color w:val="auto"/>
          <w:highlight w:val="none"/>
        </w:rPr>
        <w:t xml:space="preserve"> </w:t>
      </w:r>
    </w:p>
    <w:p w14:paraId="3FEE7410">
      <w:pPr>
        <w:spacing w:line="600" w:lineRule="exact"/>
        <w:ind w:firstLine="361" w:firstLineChars="100"/>
        <w:rPr>
          <w:color w:val="auto"/>
          <w:highlight w:val="none"/>
        </w:rPr>
      </w:pPr>
      <w:r>
        <w:rPr>
          <w:rFonts w:hint="eastAsia" w:ascii="宋体" w:hAnsi="宋体" w:eastAsia="宋体" w:cs="宋体"/>
          <w:b/>
          <w:bCs/>
          <w:color w:val="auto"/>
          <w:sz w:val="36"/>
          <w:highlight w:val="none"/>
        </w:rPr>
        <w:t>委托</w:t>
      </w:r>
      <w:r>
        <w:rPr>
          <w:rFonts w:hint="eastAsia" w:ascii="宋体" w:hAnsi="宋体" w:eastAsia="宋体" w:cs="宋体"/>
          <w:b/>
          <w:bCs/>
          <w:color w:val="auto"/>
          <w:sz w:val="36"/>
          <w:highlight w:val="none"/>
          <w:lang w:eastAsia="zh-CN"/>
        </w:rPr>
        <w:t>单位</w:t>
      </w:r>
      <w:r>
        <w:rPr>
          <w:rFonts w:hint="eastAsia" w:ascii="宋体" w:hAnsi="宋体" w:eastAsia="宋体" w:cs="宋体"/>
          <w:b/>
          <w:bCs/>
          <w:color w:val="auto"/>
          <w:sz w:val="36"/>
          <w:highlight w:val="none"/>
        </w:rPr>
        <w:t>：</w:t>
      </w:r>
      <w:r>
        <w:rPr>
          <w:rFonts w:hint="eastAsia" w:ascii="宋体" w:hAnsi="宋体"/>
          <w:b/>
          <w:bCs/>
          <w:color w:val="auto"/>
          <w:sz w:val="36"/>
          <w:highlight w:val="none"/>
        </w:rPr>
        <w:t>河池市城乡建设投资集团有限公司</w:t>
      </w:r>
    </w:p>
    <w:p w14:paraId="0067F2AB">
      <w:pPr>
        <w:spacing w:line="600" w:lineRule="exact"/>
        <w:ind w:firstLine="361" w:firstLineChars="100"/>
        <w:rPr>
          <w:color w:val="auto"/>
          <w:highlight w:val="none"/>
        </w:rPr>
      </w:pPr>
      <w:r>
        <w:rPr>
          <w:rFonts w:hint="eastAsia" w:ascii="宋体" w:hAnsi="宋体" w:eastAsia="宋体" w:cs="宋体"/>
          <w:b/>
          <w:bCs/>
          <w:color w:val="auto"/>
          <w:sz w:val="36"/>
          <w:highlight w:val="none"/>
        </w:rPr>
        <w:t>咨询</w:t>
      </w:r>
      <w:r>
        <w:rPr>
          <w:rFonts w:hint="eastAsia" w:ascii="宋体" w:hAnsi="宋体" w:eastAsia="宋体" w:cs="宋体"/>
          <w:b/>
          <w:bCs/>
          <w:color w:val="auto"/>
          <w:sz w:val="36"/>
          <w:highlight w:val="none"/>
          <w:lang w:eastAsia="zh-CN"/>
        </w:rPr>
        <w:t>单位</w:t>
      </w:r>
      <w:r>
        <w:rPr>
          <w:rFonts w:hint="eastAsia" w:ascii="宋体" w:hAnsi="宋体" w:eastAsia="宋体" w:cs="宋体"/>
          <w:b/>
          <w:bCs/>
          <w:color w:val="auto"/>
          <w:sz w:val="36"/>
          <w:highlight w:val="none"/>
        </w:rPr>
        <w:t>：</w:t>
      </w:r>
      <w:r>
        <w:rPr>
          <w:color w:val="auto"/>
          <w:highlight w:val="none"/>
        </w:rPr>
        <w:t xml:space="preserve"> </w:t>
      </w:r>
    </w:p>
    <w:p w14:paraId="7FBD4214">
      <w:pPr>
        <w:jc w:val="center"/>
        <w:rPr>
          <w:rFonts w:ascii="华文中宋" w:hAnsi="华文中宋" w:eastAsia="华文中宋" w:cs="华文中宋"/>
          <w:b/>
          <w:bCs/>
          <w:color w:val="auto"/>
          <w:sz w:val="36"/>
          <w:szCs w:val="36"/>
          <w:highlight w:val="none"/>
        </w:rPr>
      </w:pPr>
    </w:p>
    <w:p w14:paraId="2FC9BD46">
      <w:pPr>
        <w:tabs>
          <w:tab w:val="left" w:pos="2220"/>
          <w:tab w:val="center" w:pos="4462"/>
        </w:tabs>
        <w:ind w:firstLine="525"/>
        <w:jc w:val="left"/>
        <w:rPr>
          <w:rFonts w:ascii="宋体" w:hAnsi="宋体" w:cs="华文楷体"/>
          <w:b/>
          <w:bCs/>
          <w:color w:val="auto"/>
          <w:sz w:val="28"/>
          <w:szCs w:val="28"/>
          <w:highlight w:val="none"/>
        </w:rPr>
      </w:pPr>
    </w:p>
    <w:p w14:paraId="37C14411">
      <w:pPr>
        <w:ind w:firstLine="525"/>
        <w:jc w:val="center"/>
        <w:rPr>
          <w:rFonts w:ascii="宋体" w:hAnsi="宋体" w:cs="华文楷体"/>
          <w:b/>
          <w:bCs/>
          <w:color w:val="auto"/>
          <w:sz w:val="28"/>
          <w:szCs w:val="28"/>
          <w:highlight w:val="none"/>
        </w:rPr>
      </w:pPr>
    </w:p>
    <w:p w14:paraId="1EAA7F8E">
      <w:pPr>
        <w:pStyle w:val="7"/>
        <w:rPr>
          <w:rFonts w:ascii="宋体" w:hAnsi="宋体" w:cs="华文楷体"/>
          <w:b/>
          <w:bCs/>
          <w:color w:val="auto"/>
          <w:sz w:val="28"/>
          <w:szCs w:val="28"/>
          <w:highlight w:val="none"/>
        </w:rPr>
      </w:pPr>
    </w:p>
    <w:p w14:paraId="186C4E76">
      <w:pPr>
        <w:pStyle w:val="7"/>
        <w:rPr>
          <w:rFonts w:ascii="宋体" w:hAnsi="宋体" w:cs="华文楷体"/>
          <w:b/>
          <w:bCs/>
          <w:color w:val="auto"/>
          <w:sz w:val="28"/>
          <w:szCs w:val="28"/>
          <w:highlight w:val="none"/>
        </w:rPr>
      </w:pPr>
    </w:p>
    <w:p w14:paraId="2ACC1872">
      <w:pPr>
        <w:pStyle w:val="7"/>
        <w:rPr>
          <w:rFonts w:ascii="宋体" w:hAnsi="宋体" w:cs="华文楷体"/>
          <w:b/>
          <w:bCs/>
          <w:color w:val="auto"/>
          <w:sz w:val="28"/>
          <w:szCs w:val="28"/>
          <w:highlight w:val="none"/>
        </w:rPr>
      </w:pPr>
    </w:p>
    <w:p w14:paraId="309DCA4C">
      <w:pPr>
        <w:pStyle w:val="7"/>
        <w:rPr>
          <w:rFonts w:ascii="宋体" w:hAnsi="宋体" w:cs="华文楷体"/>
          <w:b/>
          <w:bCs/>
          <w:color w:val="auto"/>
          <w:sz w:val="28"/>
          <w:szCs w:val="28"/>
          <w:highlight w:val="none"/>
        </w:rPr>
      </w:pPr>
    </w:p>
    <w:p w14:paraId="04C65031">
      <w:pPr>
        <w:rPr>
          <w:rFonts w:hint="eastAsia" w:ascii="Times New Roman" w:hAnsi="Times New Roman"/>
          <w:b/>
          <w:color w:val="auto"/>
          <w:sz w:val="28"/>
          <w:szCs w:val="28"/>
          <w:highlight w:val="none"/>
        </w:rPr>
      </w:pPr>
    </w:p>
    <w:p w14:paraId="0B6516AF">
      <w:pPr>
        <w:ind w:left="0" w:leftChars="0" w:right="3559" w:rightChars="1695" w:firstLine="2100" w:firstLineChars="1000"/>
        <w:jc w:val="distribute"/>
        <w:rPr>
          <w:rFonts w:ascii="Times New Roman" w:hAnsi="Times New Roman"/>
          <w:b/>
          <w:color w:val="auto"/>
          <w:sz w:val="32"/>
          <w:szCs w:val="28"/>
          <w:highlight w:val="none"/>
        </w:rPr>
      </w:pPr>
      <w:r>
        <w:rPr>
          <w:rFonts w:ascii="Times New Roman" w:hAnsi="Times New Roman"/>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3937635</wp:posOffset>
                </wp:positionH>
                <wp:positionV relativeFrom="paragraph">
                  <wp:posOffset>157480</wp:posOffset>
                </wp:positionV>
                <wp:extent cx="723900" cy="457200"/>
                <wp:effectExtent l="4445" t="4445" r="18415" b="10795"/>
                <wp:wrapNone/>
                <wp:docPr id="3" name="文本框 3"/>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14:paraId="34773AD5">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10.05pt;margin-top:12.4pt;height:36pt;width:57pt;z-index:251659264;mso-width-relative:page;mso-height-relative:page;" filled="f" stroked="t" coordsize="21600,21600" o:gfxdata="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Pj9z9gAAAAJAQAADwAAAAAAAAABACAAAAAi&#10;AAAAZHJzL2Rvd25yZXYueG1sUEsBAhQAFAAAAAgAh07iQNpL/CsKAgAAGgQAAA4AAAAAAAAAAQAg&#10;AAAAJwEAAGRycy9lMm9Eb2MueG1sUEsFBgAAAAAGAAYAWQEAAKMFAAAAAA==&#10;">
                <v:fill on="f" focussize="0,0"/>
                <v:stroke color="#FFFFFF" joinstyle="miter"/>
                <v:imagedata o:title=""/>
                <o:lock v:ext="edit" aspectratio="f"/>
                <v:textbox>
                  <w:txbxContent>
                    <w:p w14:paraId="34773AD5">
                      <w:pPr>
                        <w:rPr>
                          <w:rFonts w:hint="eastAsia"/>
                          <w:b/>
                          <w:bCs/>
                          <w:sz w:val="32"/>
                        </w:rPr>
                      </w:pPr>
                      <w:r>
                        <w:rPr>
                          <w:rFonts w:hint="eastAsia"/>
                          <w:b/>
                          <w:bCs/>
                          <w:sz w:val="32"/>
                        </w:rPr>
                        <w:t>制定</w:t>
                      </w:r>
                    </w:p>
                  </w:txbxContent>
                </v:textbox>
              </v:shape>
            </w:pict>
          </mc:Fallback>
        </mc:AlternateContent>
      </w:r>
      <w:r>
        <w:rPr>
          <w:rFonts w:ascii="Times New Roman" w:hAnsi="Times New Roman"/>
          <w:b/>
          <w:color w:val="auto"/>
          <w:sz w:val="32"/>
          <w:szCs w:val="28"/>
          <w:highlight w:val="none"/>
        </w:rPr>
        <w:t>住房和城乡建设部</w:t>
      </w:r>
    </w:p>
    <w:p w14:paraId="7C437E6D">
      <w:pPr>
        <w:ind w:left="0" w:leftChars="0" w:right="2988" w:rightChars="1423" w:firstLine="2107" w:firstLineChars="656"/>
        <w:jc w:val="both"/>
        <w:outlineLvl w:val="0"/>
        <w:rPr>
          <w:rFonts w:ascii="华文中宋" w:hAnsi="华文中宋" w:eastAsia="华文中宋"/>
          <w:color w:val="auto"/>
          <w:sz w:val="44"/>
          <w:szCs w:val="44"/>
          <w:highlight w:val="none"/>
        </w:rPr>
        <w:sectPr>
          <w:headerReference r:id="rId3" w:type="default"/>
          <w:footerReference r:id="rId4" w:type="default"/>
          <w:pgSz w:w="11906" w:h="16838"/>
          <w:pgMar w:top="2098" w:right="1474" w:bottom="1440" w:left="1588"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ascii="Times New Roman" w:hAnsi="Times New Roman"/>
          <w:b/>
          <w:color w:val="auto"/>
          <w:sz w:val="32"/>
          <w:szCs w:val="28"/>
          <w:highlight w:val="none"/>
        </w:rPr>
        <w:t>国家</w:t>
      </w:r>
      <w:r>
        <w:rPr>
          <w:rFonts w:hint="eastAsia"/>
          <w:b/>
          <w:color w:val="auto"/>
          <w:sz w:val="32"/>
          <w:szCs w:val="28"/>
          <w:highlight w:val="none"/>
          <w:lang w:eastAsia="zh-CN"/>
        </w:rPr>
        <w:t>市场监督管理总局</w:t>
      </w:r>
      <w:r>
        <w:rPr>
          <w:rFonts w:hint="eastAsia"/>
          <w:b/>
          <w:color w:val="auto"/>
          <w:sz w:val="32"/>
          <w:szCs w:val="28"/>
          <w:highlight w:val="none"/>
          <w:lang w:val="en-US" w:eastAsia="zh-CN"/>
        </w:rPr>
        <w:t xml:space="preserve"> </w:t>
      </w:r>
    </w:p>
    <w:p w14:paraId="328199E2">
      <w:pPr>
        <w:widowControl/>
        <w:spacing w:line="360" w:lineRule="auto"/>
        <w:jc w:val="center"/>
        <w:rPr>
          <w:rFonts w:ascii="华文中宋" w:hAnsi="华文中宋" w:eastAsia="华文中宋"/>
          <w:b/>
          <w:bCs/>
          <w:color w:val="auto"/>
          <w:sz w:val="44"/>
          <w:szCs w:val="44"/>
          <w:highlight w:val="none"/>
        </w:rPr>
      </w:pPr>
      <w:bookmarkStart w:id="0" w:name="_Toc351203480"/>
      <w:bookmarkStart w:id="1" w:name="_Toc13580"/>
      <w:bookmarkStart w:id="2" w:name="_Toc20567"/>
      <w:r>
        <w:rPr>
          <w:rFonts w:ascii="华文中宋" w:hAnsi="华文中宋" w:eastAsia="华文中宋"/>
          <w:b/>
          <w:bCs/>
          <w:color w:val="auto"/>
          <w:sz w:val="44"/>
          <w:szCs w:val="44"/>
          <w:highlight w:val="none"/>
        </w:rPr>
        <w:t>第一部分 合同协议书</w:t>
      </w:r>
      <w:bookmarkEnd w:id="0"/>
      <w:bookmarkEnd w:id="1"/>
      <w:bookmarkEnd w:id="2"/>
    </w:p>
    <w:p w14:paraId="252E7688">
      <w:pPr>
        <w:widowControl/>
        <w:spacing w:line="360" w:lineRule="auto"/>
        <w:jc w:val="left"/>
        <w:rPr>
          <w:rFonts w:hint="default"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rPr>
        <w:t>委托</w:t>
      </w:r>
      <w:r>
        <w:rPr>
          <w:rFonts w:hint="eastAsia" w:ascii="宋体" w:hAnsi="宋体" w:eastAsia="宋体" w:cs="宋体"/>
          <w:b/>
          <w:bCs/>
          <w:color w:val="auto"/>
          <w:sz w:val="28"/>
          <w:szCs w:val="28"/>
          <w:highlight w:val="none"/>
          <w:lang w:eastAsia="zh-CN"/>
        </w:rPr>
        <w:t>单位</w:t>
      </w:r>
      <w:r>
        <w:rPr>
          <w:rFonts w:hint="eastAsia" w:ascii="宋体" w:hAnsi="宋体" w:eastAsia="宋体" w:cs="宋体"/>
          <w:b/>
          <w:bCs/>
          <w:color w:val="auto"/>
          <w:sz w:val="28"/>
          <w:szCs w:val="28"/>
          <w:highlight w:val="none"/>
        </w:rPr>
        <w:t>：</w:t>
      </w:r>
      <w:r>
        <w:rPr>
          <w:rFonts w:hint="eastAsia" w:ascii="宋体" w:hAnsi="宋体" w:eastAsia="宋体" w:cs="宋体"/>
          <w:color w:val="auto"/>
          <w:spacing w:val="-12"/>
          <w:sz w:val="28"/>
          <w:szCs w:val="28"/>
          <w:highlight w:val="none"/>
          <w:u w:val="single"/>
        </w:rPr>
        <w:t>河池市城乡建设投资集团有限公司</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仿宋" w:hAnsi="仿宋" w:eastAsia="仿宋" w:cs="仿宋"/>
          <w:color w:val="auto"/>
          <w:sz w:val="30"/>
          <w:szCs w:val="30"/>
          <w:highlight w:val="none"/>
        </w:rPr>
        <w:t>（以下简称甲方）</w:t>
      </w:r>
    </w:p>
    <w:p w14:paraId="311B22E2">
      <w:pPr>
        <w:widowControl/>
        <w:spacing w:line="360" w:lineRule="auto"/>
        <w:jc w:val="left"/>
        <w:rPr>
          <w:rFonts w:hint="eastAsia" w:ascii="宋体" w:hAnsi="宋体" w:eastAsia="宋体" w:cs="宋体"/>
          <w:color w:val="auto"/>
          <w:sz w:val="28"/>
          <w:szCs w:val="28"/>
          <w:highlight w:val="none"/>
          <w:u w:val="single"/>
        </w:rPr>
      </w:pPr>
      <w:r>
        <w:rPr>
          <w:rFonts w:hint="eastAsia" w:ascii="宋体" w:hAnsi="宋体" w:eastAsia="宋体" w:cs="宋体"/>
          <w:b/>
          <w:bCs/>
          <w:color w:val="auto"/>
          <w:sz w:val="28"/>
          <w:szCs w:val="28"/>
          <w:highlight w:val="none"/>
        </w:rPr>
        <w:t>咨询</w:t>
      </w:r>
      <w:r>
        <w:rPr>
          <w:rFonts w:hint="eastAsia" w:ascii="宋体" w:hAnsi="宋体" w:eastAsia="宋体" w:cs="宋体"/>
          <w:b/>
          <w:bCs/>
          <w:color w:val="auto"/>
          <w:sz w:val="28"/>
          <w:szCs w:val="28"/>
          <w:highlight w:val="none"/>
          <w:lang w:eastAsia="zh-CN"/>
        </w:rPr>
        <w:t>单位</w:t>
      </w:r>
      <w:r>
        <w:rPr>
          <w:rFonts w:hint="eastAsia" w:ascii="宋体" w:hAnsi="宋体" w:eastAsia="宋体" w:cs="宋体"/>
          <w:b/>
          <w:bCs/>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仿宋" w:hAnsi="仿宋" w:eastAsia="仿宋" w:cs="仿宋"/>
          <w:color w:val="auto"/>
          <w:sz w:val="30"/>
          <w:szCs w:val="30"/>
          <w:highlight w:val="none"/>
        </w:rPr>
        <w:t>（以下简称</w:t>
      </w:r>
      <w:r>
        <w:rPr>
          <w:rFonts w:hint="eastAsia" w:ascii="仿宋" w:hAnsi="仿宋" w:eastAsia="仿宋" w:cs="仿宋"/>
          <w:color w:val="auto"/>
          <w:sz w:val="30"/>
          <w:szCs w:val="30"/>
          <w:highlight w:val="none"/>
          <w:lang w:eastAsia="zh-CN"/>
        </w:rPr>
        <w:t>乙</w:t>
      </w:r>
      <w:r>
        <w:rPr>
          <w:rFonts w:hint="eastAsia" w:ascii="仿宋" w:hAnsi="仿宋" w:eastAsia="仿宋" w:cs="仿宋"/>
          <w:color w:val="auto"/>
          <w:sz w:val="30"/>
          <w:szCs w:val="30"/>
          <w:highlight w:val="none"/>
        </w:rPr>
        <w:t>方）</w:t>
      </w:r>
    </w:p>
    <w:p w14:paraId="2B1680DF">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根据《中华人民共和国民法典》及其他有关法律、法规，遵循平等、自愿、公平和诚实信用的原则，双方就下述建设工程委托造价咨询与其他服务事项协商一致，订立本合同。</w:t>
      </w:r>
    </w:p>
    <w:p w14:paraId="313BA541">
      <w:pPr>
        <w:spacing w:before="31" w:line="600" w:lineRule="exact"/>
        <w:ind w:firstLine="486" w:firstLineChars="200"/>
        <w:outlineLvl w:val="0"/>
        <w:rPr>
          <w:rFonts w:ascii="宋体" w:hAnsi="宋体" w:eastAsia="宋体" w:cs="宋体"/>
          <w:color w:val="auto"/>
          <w:sz w:val="28"/>
          <w:szCs w:val="28"/>
          <w:highlight w:val="none"/>
        </w:rPr>
      </w:pPr>
      <w:r>
        <w:rPr>
          <w:rFonts w:hint="eastAsia" w:ascii="宋体" w:hAnsi="宋体" w:eastAsia="宋体" w:cs="宋体"/>
          <w:b/>
          <w:bCs/>
          <w:color w:val="auto"/>
          <w:spacing w:val="-19"/>
          <w:sz w:val="28"/>
          <w:szCs w:val="28"/>
          <w:highlight w:val="none"/>
        </w:rPr>
        <w:t>一、工程概况</w:t>
      </w:r>
    </w:p>
    <w:p w14:paraId="39805FB3">
      <w:pPr>
        <w:spacing w:before="25" w:line="600" w:lineRule="exact"/>
        <w:ind w:right="176" w:firstLine="536"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pacing w:val="-6"/>
          <w:sz w:val="28"/>
          <w:szCs w:val="28"/>
          <w:highlight w:val="none"/>
        </w:rPr>
        <w:t>1.工程名称：</w:t>
      </w:r>
      <w:r>
        <w:rPr>
          <w:rFonts w:hint="eastAsia" w:ascii="宋体" w:hAnsi="宋体" w:eastAsia="宋体" w:cs="宋体"/>
          <w:color w:val="auto"/>
          <w:sz w:val="28"/>
          <w:szCs w:val="28"/>
          <w:highlight w:val="none"/>
          <w:lang w:eastAsia="zh-CN"/>
        </w:rPr>
        <w:t>河池市金城江城区排水防涝管网工程</w:t>
      </w:r>
    </w:p>
    <w:p w14:paraId="119B3757">
      <w:pPr>
        <w:spacing w:before="25" w:line="600" w:lineRule="exact"/>
        <w:ind w:right="176" w:firstLine="536" w:firstLineChars="200"/>
        <w:rPr>
          <w:rFonts w:hint="eastAsia" w:ascii="仿宋" w:hAnsi="仿宋" w:eastAsia="仿宋" w:cs="仿宋"/>
          <w:color w:val="auto"/>
          <w:sz w:val="30"/>
          <w:szCs w:val="30"/>
          <w:highlight w:val="none"/>
          <w:u w:val="single"/>
          <w:lang w:eastAsia="zh-CN"/>
        </w:rPr>
      </w:pPr>
      <w:r>
        <w:rPr>
          <w:rFonts w:hint="eastAsia" w:ascii="宋体" w:hAnsi="宋体" w:eastAsia="宋体" w:cs="宋体"/>
          <w:color w:val="auto"/>
          <w:spacing w:val="-6"/>
          <w:sz w:val="28"/>
          <w:szCs w:val="28"/>
          <w:highlight w:val="none"/>
        </w:rPr>
        <w:t>2.工程地点：</w:t>
      </w:r>
      <w:r>
        <w:rPr>
          <w:rFonts w:hint="eastAsia" w:ascii="宋体" w:hAnsi="宋体" w:eastAsia="宋体" w:cs="宋体"/>
          <w:color w:val="auto"/>
          <w:spacing w:val="-6"/>
          <w:sz w:val="28"/>
          <w:szCs w:val="28"/>
          <w:highlight w:val="none"/>
          <w:lang w:eastAsia="zh-CN"/>
        </w:rPr>
        <w:t>河池市金城江区</w:t>
      </w:r>
    </w:p>
    <w:p w14:paraId="0AC1B673">
      <w:pPr>
        <w:spacing w:before="25" w:line="600" w:lineRule="exact"/>
        <w:ind w:right="176" w:firstLine="536" w:firstLineChars="200"/>
        <w:rPr>
          <w:rFonts w:hint="default" w:ascii="仿宋" w:hAnsi="仿宋" w:eastAsia="宋体" w:cs="仿宋"/>
          <w:color w:val="auto"/>
          <w:sz w:val="30"/>
          <w:szCs w:val="30"/>
          <w:highlight w:val="none"/>
          <w:lang w:val="en-US" w:eastAsia="zh-CN"/>
        </w:rPr>
      </w:pPr>
      <w:r>
        <w:rPr>
          <w:rFonts w:hint="eastAsia" w:ascii="宋体" w:hAnsi="宋体" w:cs="宋体"/>
          <w:color w:val="auto"/>
          <w:spacing w:val="-6"/>
          <w:sz w:val="28"/>
          <w:szCs w:val="28"/>
          <w:highlight w:val="none"/>
        </w:rPr>
        <w:t>3.工程规模：</w:t>
      </w:r>
      <w:r>
        <w:rPr>
          <w:rFonts w:hint="eastAsia" w:ascii="宋体" w:hAnsi="宋体" w:eastAsia="宋体" w:cs="宋体"/>
          <w:color w:val="auto"/>
          <w:sz w:val="28"/>
          <w:szCs w:val="28"/>
          <w:highlight w:val="none"/>
          <w:u w:val="none"/>
          <w:lang w:eastAsia="zh-CN"/>
        </w:rPr>
        <w:t>根据批复的初步设计、初步设计变更（与初步设计文件不一致的以变更为准）、初步设计图纸疑问函的回复（与初步设计文件及变更不一致的，以疑问回复函的内容为准），河池市金城江城区排水防涝管网工程</w:t>
      </w:r>
      <w:r>
        <w:rPr>
          <w:rFonts w:hint="eastAsia" w:ascii="宋体" w:hAnsi="宋体" w:eastAsia="宋体" w:cs="宋体"/>
          <w:color w:val="auto"/>
          <w:sz w:val="28"/>
          <w:szCs w:val="28"/>
          <w:highlight w:val="none"/>
          <w:u w:val="none"/>
          <w:lang w:val="en-US" w:eastAsia="zh-CN"/>
        </w:rPr>
        <w:t>项目位于金城江区，主要建设内容包括：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1954084F">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二、服务范围及工作内容</w:t>
      </w:r>
    </w:p>
    <w:p w14:paraId="18864F1C">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pacing w:val="-6"/>
          <w:sz w:val="28"/>
          <w:szCs w:val="28"/>
          <w:highlight w:val="none"/>
        </w:rPr>
        <w:t>双方约定的服务范围及工作内容：施工过程造价咨询（进度款</w:t>
      </w:r>
      <w:r>
        <w:rPr>
          <w:rFonts w:hint="eastAsia" w:ascii="宋体" w:hAnsi="宋体" w:eastAsia="宋体" w:cs="宋体"/>
          <w:color w:val="auto"/>
          <w:spacing w:val="-6"/>
          <w:sz w:val="28"/>
          <w:szCs w:val="28"/>
          <w:highlight w:val="none"/>
          <w:lang w:eastAsia="zh-CN"/>
        </w:rPr>
        <w:t>审核</w:t>
      </w:r>
      <w:r>
        <w:rPr>
          <w:rFonts w:hint="eastAsia" w:ascii="宋体" w:hAnsi="宋体" w:eastAsia="宋体" w:cs="宋体"/>
          <w:color w:val="auto"/>
          <w:spacing w:val="-6"/>
          <w:sz w:val="28"/>
          <w:szCs w:val="28"/>
          <w:highlight w:val="none"/>
        </w:rPr>
        <w:t>、工程变更价款</w:t>
      </w:r>
      <w:r>
        <w:rPr>
          <w:rFonts w:hint="eastAsia" w:ascii="宋体" w:hAnsi="宋体" w:eastAsia="宋体" w:cs="宋体"/>
          <w:color w:val="auto"/>
          <w:spacing w:val="-6"/>
          <w:sz w:val="28"/>
          <w:szCs w:val="28"/>
          <w:highlight w:val="none"/>
          <w:lang w:eastAsia="zh-CN"/>
        </w:rPr>
        <w:t>审核</w:t>
      </w:r>
      <w:r>
        <w:rPr>
          <w:rFonts w:hint="eastAsia" w:ascii="宋体" w:hAnsi="宋体" w:eastAsia="宋体" w:cs="宋体"/>
          <w:color w:val="auto"/>
          <w:spacing w:val="-6"/>
          <w:sz w:val="28"/>
          <w:szCs w:val="28"/>
          <w:highlight w:val="none"/>
        </w:rPr>
        <w:t>、工程索赔</w:t>
      </w:r>
      <w:r>
        <w:rPr>
          <w:rFonts w:hint="eastAsia" w:ascii="宋体" w:hAnsi="宋体" w:eastAsia="宋体" w:cs="宋体"/>
          <w:color w:val="auto"/>
          <w:spacing w:val="-6"/>
          <w:sz w:val="28"/>
          <w:szCs w:val="28"/>
          <w:highlight w:val="none"/>
          <w:lang w:eastAsia="zh-CN"/>
        </w:rPr>
        <w:t>审核</w:t>
      </w:r>
      <w:r>
        <w:rPr>
          <w:rFonts w:hint="eastAsia" w:ascii="宋体" w:hAnsi="宋体" w:eastAsia="宋体" w:cs="宋体"/>
          <w:color w:val="auto"/>
          <w:spacing w:val="-6"/>
          <w:sz w:val="28"/>
          <w:szCs w:val="28"/>
          <w:highlight w:val="none"/>
        </w:rPr>
        <w:t>、现场签证</w:t>
      </w:r>
      <w:r>
        <w:rPr>
          <w:rFonts w:hint="eastAsia" w:ascii="宋体" w:hAnsi="宋体" w:eastAsia="宋体" w:cs="宋体"/>
          <w:color w:val="auto"/>
          <w:spacing w:val="-6"/>
          <w:sz w:val="28"/>
          <w:szCs w:val="28"/>
          <w:highlight w:val="none"/>
          <w:lang w:eastAsia="zh-CN"/>
        </w:rPr>
        <w:t>审核</w:t>
      </w:r>
      <w:r>
        <w:rPr>
          <w:rFonts w:hint="eastAsia" w:ascii="宋体" w:hAnsi="宋体" w:eastAsia="宋体" w:cs="宋体"/>
          <w:color w:val="auto"/>
          <w:spacing w:val="-6"/>
          <w:sz w:val="28"/>
          <w:szCs w:val="28"/>
          <w:highlight w:val="none"/>
        </w:rPr>
        <w:t>、材料设备询价与核价等）。</w:t>
      </w:r>
      <w:r>
        <w:rPr>
          <w:rFonts w:hint="eastAsia" w:ascii="宋体" w:hAnsi="宋体" w:eastAsia="宋体" w:cs="宋体"/>
          <w:color w:val="auto"/>
          <w:sz w:val="28"/>
          <w:szCs w:val="28"/>
          <w:highlight w:val="none"/>
        </w:rPr>
        <w:t xml:space="preserve"> </w:t>
      </w:r>
    </w:p>
    <w:p w14:paraId="4752D721">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服务期限：合同签订至</w:t>
      </w:r>
      <w:r>
        <w:rPr>
          <w:rFonts w:hint="eastAsia" w:ascii="宋体" w:hAnsi="宋体" w:eastAsia="宋体" w:cs="宋体"/>
          <w:color w:val="auto"/>
          <w:sz w:val="28"/>
          <w:szCs w:val="28"/>
          <w:highlight w:val="none"/>
          <w:lang w:val="en-US" w:eastAsia="zh-CN"/>
        </w:rPr>
        <w:t>竣工结算</w:t>
      </w:r>
      <w:r>
        <w:rPr>
          <w:rFonts w:hint="eastAsia" w:ascii="宋体" w:hAnsi="宋体" w:eastAsia="宋体" w:cs="宋体"/>
          <w:color w:val="auto"/>
          <w:sz w:val="28"/>
          <w:szCs w:val="28"/>
          <w:highlight w:val="none"/>
        </w:rPr>
        <w:t>审核完成。</w:t>
      </w:r>
    </w:p>
    <w:p w14:paraId="7076EE3B">
      <w:pPr>
        <w:spacing w:before="25" w:line="600" w:lineRule="exact"/>
        <w:ind w:right="176"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lang w:val="en-US" w:eastAsia="zh-CN"/>
        </w:rPr>
        <w:t>三</w:t>
      </w:r>
      <w:r>
        <w:rPr>
          <w:rFonts w:hint="eastAsia" w:ascii="宋体" w:hAnsi="宋体" w:eastAsia="宋体" w:cs="宋体"/>
          <w:color w:val="auto"/>
          <w:sz w:val="28"/>
          <w:szCs w:val="28"/>
          <w:highlight w:val="none"/>
        </w:rPr>
        <w:t>、成果文件完成时间：</w:t>
      </w:r>
      <w:r>
        <w:rPr>
          <w:rFonts w:hint="eastAsia" w:ascii="宋体" w:hAnsi="宋体" w:eastAsia="宋体" w:cs="宋体"/>
          <w:color w:val="auto"/>
          <w:sz w:val="28"/>
          <w:szCs w:val="28"/>
          <w:highlight w:val="none"/>
          <w:lang w:val="en-US" w:eastAsia="zh-CN"/>
        </w:rPr>
        <w:t>收到甲方相关资料后，</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必须在</w:t>
      </w:r>
      <w:r>
        <w:rPr>
          <w:rFonts w:hint="eastAsia" w:ascii="宋体" w:hAnsi="宋体" w:eastAsia="宋体" w:cs="宋体"/>
          <w:color w:val="auto"/>
          <w:sz w:val="28"/>
          <w:szCs w:val="28"/>
          <w:highlight w:val="none"/>
          <w:u w:val="none"/>
          <w:lang w:val="en-US" w:eastAsia="zh-CN"/>
        </w:rPr>
        <w:t>规定时限</w:t>
      </w:r>
      <w:r>
        <w:rPr>
          <w:rFonts w:hint="eastAsia" w:ascii="宋体" w:hAnsi="宋体" w:eastAsia="宋体" w:cs="宋体"/>
          <w:color w:val="auto"/>
          <w:sz w:val="28"/>
          <w:szCs w:val="28"/>
          <w:highlight w:val="none"/>
        </w:rPr>
        <w:t>内完成</w:t>
      </w:r>
      <w:r>
        <w:rPr>
          <w:rFonts w:hint="eastAsia" w:ascii="宋体" w:hAnsi="宋体"/>
          <w:color w:val="auto"/>
          <w:sz w:val="28"/>
          <w:szCs w:val="28"/>
          <w:highlight w:val="none"/>
        </w:rPr>
        <w:t>工程进度款、工程变更价款、工程索赔、现场签证、材料设备询价与核价及相关内容的审核并出具审核报告及审定价格的成果文件递交</w:t>
      </w:r>
      <w:r>
        <w:rPr>
          <w:rFonts w:hint="eastAsia" w:ascii="宋体" w:hAnsi="宋体"/>
          <w:color w:val="auto"/>
          <w:sz w:val="28"/>
          <w:szCs w:val="28"/>
          <w:highlight w:val="none"/>
          <w:lang w:eastAsia="zh-CN"/>
        </w:rPr>
        <w:t>甲方：</w:t>
      </w:r>
      <w:r>
        <w:rPr>
          <w:rFonts w:hint="eastAsia" w:ascii="宋体" w:hAnsi="宋体" w:eastAsia="宋体" w:cs="宋体"/>
          <w:color w:val="auto"/>
          <w:sz w:val="28"/>
          <w:szCs w:val="28"/>
          <w:highlight w:val="none"/>
          <w:lang w:eastAsia="zh-CN"/>
        </w:rPr>
        <w:t>造价</w:t>
      </w:r>
      <w:r>
        <w:rPr>
          <w:rFonts w:hint="eastAsia" w:ascii="宋体" w:hAnsi="宋体" w:eastAsia="宋体" w:cs="宋体"/>
          <w:color w:val="auto"/>
          <w:sz w:val="28"/>
          <w:szCs w:val="28"/>
          <w:highlight w:val="none"/>
          <w:lang w:val="en-US" w:eastAsia="zh-CN"/>
        </w:rPr>
        <w:t>20万元以下于2日内完成；</w:t>
      </w:r>
      <w:r>
        <w:rPr>
          <w:rFonts w:hint="eastAsia" w:ascii="宋体" w:hAnsi="宋体" w:eastAsia="宋体" w:cs="宋体"/>
          <w:color w:val="auto"/>
          <w:sz w:val="28"/>
          <w:szCs w:val="28"/>
          <w:highlight w:val="none"/>
          <w:lang w:eastAsia="zh-CN"/>
        </w:rPr>
        <w:t>造价</w:t>
      </w:r>
      <w:r>
        <w:rPr>
          <w:rFonts w:hint="eastAsia" w:ascii="宋体" w:hAnsi="宋体" w:eastAsia="宋体" w:cs="宋体"/>
          <w:color w:val="auto"/>
          <w:sz w:val="28"/>
          <w:szCs w:val="28"/>
          <w:highlight w:val="none"/>
          <w:lang w:val="en-US" w:eastAsia="zh-CN"/>
        </w:rPr>
        <w:t>20～50万元于3日内完成；</w:t>
      </w:r>
      <w:r>
        <w:rPr>
          <w:rFonts w:hint="eastAsia" w:ascii="宋体" w:hAnsi="宋体" w:eastAsia="宋体" w:cs="宋体"/>
          <w:color w:val="auto"/>
          <w:sz w:val="28"/>
          <w:szCs w:val="28"/>
          <w:highlight w:val="none"/>
          <w:lang w:eastAsia="zh-CN"/>
        </w:rPr>
        <w:t>造价</w:t>
      </w:r>
      <w:r>
        <w:rPr>
          <w:rFonts w:hint="eastAsia" w:ascii="宋体" w:hAnsi="宋体" w:eastAsia="宋体" w:cs="宋体"/>
          <w:color w:val="auto"/>
          <w:sz w:val="28"/>
          <w:szCs w:val="28"/>
          <w:highlight w:val="none"/>
          <w:lang w:val="en-US" w:eastAsia="zh-CN"/>
        </w:rPr>
        <w:t>50～100万元于5日内完成；</w:t>
      </w:r>
      <w:r>
        <w:rPr>
          <w:rFonts w:hint="eastAsia" w:ascii="宋体" w:hAnsi="宋体" w:eastAsia="宋体" w:cs="宋体"/>
          <w:color w:val="auto"/>
          <w:sz w:val="28"/>
          <w:szCs w:val="28"/>
          <w:highlight w:val="none"/>
          <w:lang w:eastAsia="zh-CN"/>
        </w:rPr>
        <w:t>造价</w:t>
      </w:r>
      <w:r>
        <w:rPr>
          <w:rFonts w:hint="eastAsia" w:ascii="宋体" w:hAnsi="宋体" w:eastAsia="宋体" w:cs="宋体"/>
          <w:color w:val="auto"/>
          <w:sz w:val="28"/>
          <w:szCs w:val="28"/>
          <w:highlight w:val="none"/>
          <w:lang w:val="en-US" w:eastAsia="zh-CN"/>
        </w:rPr>
        <w:t>100万元（含）以上于7日内完成</w:t>
      </w:r>
      <w:r>
        <w:rPr>
          <w:rFonts w:hint="eastAsia" w:ascii="宋体" w:hAnsi="宋体" w:eastAsia="宋体" w:cs="宋体"/>
          <w:color w:val="auto"/>
          <w:sz w:val="28"/>
          <w:szCs w:val="28"/>
          <w:highlight w:val="none"/>
        </w:rPr>
        <w:t>。</w:t>
      </w:r>
    </w:p>
    <w:p w14:paraId="33083127">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eastAsia="zh-CN"/>
        </w:rPr>
        <w:t>审核</w:t>
      </w:r>
      <w:r>
        <w:rPr>
          <w:rFonts w:hint="eastAsia" w:ascii="宋体" w:hAnsi="宋体" w:eastAsia="宋体" w:cs="宋体"/>
          <w:color w:val="auto"/>
          <w:sz w:val="28"/>
          <w:szCs w:val="28"/>
          <w:highlight w:val="none"/>
        </w:rPr>
        <w:t>过程中，因争议问题不能形成审核结论的，应</w:t>
      </w:r>
      <w:r>
        <w:rPr>
          <w:rFonts w:hint="eastAsia" w:ascii="宋体" w:hAnsi="宋体" w:eastAsia="宋体" w:cs="宋体"/>
          <w:color w:val="auto"/>
          <w:sz w:val="28"/>
          <w:szCs w:val="28"/>
          <w:highlight w:val="none"/>
          <w:lang w:eastAsia="zh-CN"/>
        </w:rPr>
        <w:t>在审核规定时限内形成书面材料</w:t>
      </w:r>
      <w:r>
        <w:rPr>
          <w:rFonts w:hint="eastAsia" w:ascii="宋体" w:hAnsi="宋体" w:eastAsia="宋体" w:cs="宋体"/>
          <w:color w:val="auto"/>
          <w:sz w:val="28"/>
          <w:szCs w:val="28"/>
          <w:highlight w:val="none"/>
        </w:rPr>
        <w:t>报</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，经批准后可延长审核时间。由于项目点分散、工程项目复杂等特殊原因不能在上述时间内完成的项目，由</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向</w:t>
      </w:r>
      <w:r>
        <w:rPr>
          <w:rFonts w:hint="eastAsia" w:ascii="宋体" w:hAnsi="宋体" w:eastAsia="宋体" w:cs="宋体"/>
          <w:color w:val="auto"/>
          <w:sz w:val="28"/>
          <w:szCs w:val="28"/>
          <w:highlight w:val="none"/>
          <w:lang w:eastAsia="zh-CN"/>
        </w:rPr>
        <w:t>甲方书面</w:t>
      </w:r>
      <w:r>
        <w:rPr>
          <w:rFonts w:hint="eastAsia" w:ascii="宋体" w:hAnsi="宋体" w:eastAsia="宋体" w:cs="宋体"/>
          <w:color w:val="auto"/>
          <w:sz w:val="28"/>
          <w:szCs w:val="28"/>
          <w:highlight w:val="none"/>
        </w:rPr>
        <w:t>另行申请延时</w:t>
      </w:r>
      <w:r>
        <w:rPr>
          <w:rFonts w:hint="eastAsia" w:ascii="宋体" w:hAnsi="宋体" w:eastAsia="宋体" w:cs="宋体"/>
          <w:color w:val="auto"/>
          <w:sz w:val="28"/>
          <w:szCs w:val="28"/>
          <w:highlight w:val="none"/>
          <w:lang w:eastAsia="zh-CN"/>
        </w:rPr>
        <w:t>，否则视为乙方</w:t>
      </w:r>
      <w:r>
        <w:rPr>
          <w:rFonts w:hint="eastAsia" w:ascii="宋体" w:hAnsi="宋体" w:eastAsia="宋体" w:cs="宋体"/>
          <w:color w:val="auto"/>
          <w:sz w:val="28"/>
          <w:szCs w:val="28"/>
          <w:highlight w:val="none"/>
        </w:rPr>
        <w:t>无故延长</w:t>
      </w:r>
      <w:r>
        <w:rPr>
          <w:rFonts w:hint="eastAsia" w:ascii="宋体" w:hAnsi="宋体" w:eastAsia="宋体" w:cs="宋体"/>
          <w:color w:val="auto"/>
          <w:sz w:val="28"/>
          <w:szCs w:val="28"/>
          <w:highlight w:val="none"/>
          <w:lang w:val="en-US" w:eastAsia="zh-CN"/>
        </w:rPr>
        <w:t>审核</w:t>
      </w: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lang w:eastAsia="zh-CN"/>
        </w:rPr>
        <w:t>。</w:t>
      </w:r>
    </w:p>
    <w:p w14:paraId="72ED855B">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无故延长</w:t>
      </w:r>
      <w:r>
        <w:rPr>
          <w:rFonts w:hint="eastAsia" w:ascii="宋体" w:hAnsi="宋体" w:eastAsia="宋体" w:cs="宋体"/>
          <w:color w:val="auto"/>
          <w:sz w:val="28"/>
          <w:szCs w:val="28"/>
          <w:highlight w:val="none"/>
          <w:lang w:val="en-US" w:eastAsia="zh-CN"/>
        </w:rPr>
        <w:t>审核</w:t>
      </w: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lang w:val="en-US" w:eastAsia="zh-CN"/>
        </w:rPr>
        <w:t>有权</w:t>
      </w:r>
      <w:r>
        <w:rPr>
          <w:rFonts w:hint="eastAsia" w:ascii="宋体" w:hAnsi="宋体" w:eastAsia="宋体" w:cs="宋体"/>
          <w:color w:val="auto"/>
          <w:sz w:val="28"/>
          <w:szCs w:val="28"/>
          <w:highlight w:val="none"/>
        </w:rPr>
        <w:t>扣减咨询费（按每逾期一天扣减该项目</w:t>
      </w:r>
      <w:r>
        <w:rPr>
          <w:rFonts w:hint="eastAsia" w:ascii="宋体" w:hAnsi="宋体" w:eastAsia="宋体" w:cs="宋体"/>
          <w:color w:val="auto"/>
          <w:sz w:val="28"/>
          <w:szCs w:val="28"/>
          <w:highlight w:val="none"/>
          <w:lang w:val="en-US" w:eastAsia="zh-CN"/>
        </w:rPr>
        <w:t>合同总价</w:t>
      </w:r>
      <w:r>
        <w:rPr>
          <w:rFonts w:hint="eastAsia" w:ascii="宋体" w:hAnsi="宋体" w:eastAsia="宋体" w:cs="宋体"/>
          <w:color w:val="auto"/>
          <w:sz w:val="28"/>
          <w:szCs w:val="28"/>
          <w:highlight w:val="none"/>
        </w:rPr>
        <w:t>的</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‰计算</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总限额不超过合同总价的10%。</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审核</w:t>
      </w:r>
      <w:r>
        <w:rPr>
          <w:rFonts w:hint="eastAsia" w:ascii="宋体" w:hAnsi="宋体" w:eastAsia="宋体" w:cs="宋体"/>
          <w:color w:val="auto"/>
          <w:sz w:val="28"/>
          <w:szCs w:val="28"/>
          <w:highlight w:val="none"/>
        </w:rPr>
        <w:t>时间延迟</w:t>
      </w:r>
      <w:r>
        <w:rPr>
          <w:rFonts w:hint="eastAsia" w:ascii="宋体" w:hAnsi="宋体" w:eastAsia="宋体" w:cs="宋体"/>
          <w:color w:val="auto"/>
          <w:sz w:val="28"/>
          <w:szCs w:val="28"/>
          <w:highlight w:val="none"/>
          <w:lang w:val="en-US" w:eastAsia="zh-CN"/>
        </w:rPr>
        <w:t>3个工作</w:t>
      </w:r>
      <w:r>
        <w:rPr>
          <w:rFonts w:hint="eastAsia" w:ascii="宋体" w:hAnsi="宋体" w:eastAsia="宋体" w:cs="宋体"/>
          <w:color w:val="auto"/>
          <w:sz w:val="28"/>
          <w:szCs w:val="28"/>
          <w:highlight w:val="none"/>
        </w:rPr>
        <w:t>日以上的视为</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无法完成该项目造价咨询工作，</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有权收回工程资料，扣除该项目的委托咨询</w:t>
      </w:r>
      <w:r>
        <w:rPr>
          <w:rFonts w:hint="eastAsia" w:ascii="宋体" w:hAnsi="宋体" w:eastAsia="宋体" w:cs="宋体"/>
          <w:color w:val="auto"/>
          <w:sz w:val="28"/>
          <w:szCs w:val="28"/>
          <w:highlight w:val="none"/>
          <w:lang w:val="en-US" w:eastAsia="zh-CN"/>
        </w:rPr>
        <w:t>服务</w:t>
      </w:r>
      <w:r>
        <w:rPr>
          <w:rFonts w:hint="eastAsia" w:ascii="宋体" w:hAnsi="宋体" w:eastAsia="宋体" w:cs="宋体"/>
          <w:color w:val="auto"/>
          <w:sz w:val="28"/>
          <w:szCs w:val="28"/>
          <w:highlight w:val="none"/>
        </w:rPr>
        <w:t>费，并解除合同。</w:t>
      </w:r>
    </w:p>
    <w:p w14:paraId="75DF1BB1">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（3）本工程在咨询过程中</w:t>
      </w:r>
      <w:r>
        <w:rPr>
          <w:rFonts w:hint="eastAsia" w:ascii="宋体" w:hAnsi="宋体" w:eastAsia="宋体" w:cs="宋体"/>
          <w:color w:val="auto"/>
          <w:sz w:val="28"/>
          <w:szCs w:val="28"/>
          <w:highlight w:val="none"/>
          <w:lang w:eastAsia="zh-CN"/>
        </w:rPr>
        <w:t>乙方需</w:t>
      </w:r>
      <w:r>
        <w:rPr>
          <w:rFonts w:hint="eastAsia" w:ascii="宋体" w:hAnsi="宋体" w:eastAsia="宋体" w:cs="宋体"/>
          <w:color w:val="auto"/>
          <w:sz w:val="28"/>
          <w:szCs w:val="28"/>
          <w:highlight w:val="none"/>
        </w:rPr>
        <w:t>派</w:t>
      </w:r>
      <w:r>
        <w:rPr>
          <w:rFonts w:hint="eastAsia" w:ascii="宋体" w:hAnsi="宋体" w:eastAsia="宋体" w:cs="宋体"/>
          <w:color w:val="auto"/>
          <w:sz w:val="28"/>
          <w:szCs w:val="28"/>
          <w:highlight w:val="none"/>
          <w:lang w:eastAsia="zh-CN"/>
        </w:rPr>
        <w:t>负责本项目的</w:t>
      </w:r>
      <w:r>
        <w:rPr>
          <w:rFonts w:hint="eastAsia" w:ascii="宋体" w:hAnsi="宋体" w:eastAsia="宋体" w:cs="宋体"/>
          <w:color w:val="auto"/>
          <w:sz w:val="28"/>
          <w:szCs w:val="28"/>
          <w:highlight w:val="none"/>
        </w:rPr>
        <w:t>造价技术人员</w:t>
      </w:r>
      <w:r>
        <w:rPr>
          <w:rFonts w:hint="eastAsia" w:ascii="宋体" w:hAnsi="宋体" w:eastAsia="宋体" w:cs="宋体"/>
          <w:color w:val="auto"/>
          <w:sz w:val="28"/>
          <w:szCs w:val="28"/>
          <w:highlight w:val="none"/>
          <w:lang w:eastAsia="zh-CN"/>
        </w:rPr>
        <w:t>驻场开展</w:t>
      </w:r>
      <w:r>
        <w:rPr>
          <w:rFonts w:hint="eastAsia" w:ascii="宋体" w:hAnsi="宋体" w:eastAsia="宋体" w:cs="宋体"/>
          <w:color w:val="auto"/>
          <w:sz w:val="28"/>
          <w:szCs w:val="28"/>
          <w:highlight w:val="none"/>
        </w:rPr>
        <w:t>核对</w:t>
      </w:r>
      <w:r>
        <w:rPr>
          <w:rFonts w:hint="eastAsia" w:ascii="宋体" w:hAnsi="宋体" w:eastAsia="宋体" w:cs="宋体"/>
          <w:color w:val="auto"/>
          <w:sz w:val="28"/>
          <w:szCs w:val="28"/>
          <w:highlight w:val="none"/>
          <w:lang w:eastAsia="zh-CN"/>
        </w:rPr>
        <w:t>工作</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直至甲方或市财政评审中心或</w:t>
      </w:r>
      <w:r>
        <w:rPr>
          <w:rFonts w:hint="eastAsia" w:ascii="宋体" w:hAnsi="宋体" w:eastAsia="宋体" w:cs="宋体"/>
          <w:color w:val="auto"/>
          <w:sz w:val="28"/>
          <w:szCs w:val="28"/>
          <w:highlight w:val="none"/>
        </w:rPr>
        <w:t>市</w:t>
      </w:r>
      <w:r>
        <w:rPr>
          <w:rFonts w:hint="eastAsia" w:ascii="宋体" w:hAnsi="宋体" w:eastAsia="宋体" w:cs="宋体"/>
          <w:color w:val="auto"/>
          <w:sz w:val="28"/>
          <w:szCs w:val="28"/>
          <w:highlight w:val="none"/>
          <w:lang w:eastAsia="zh-CN"/>
        </w:rPr>
        <w:t>审计局出具审核结论为止。派员驻场开始时间以</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lang w:eastAsia="zh-CN"/>
        </w:rPr>
        <w:t>通知为准（通知方式包括但不限于微信、短信、电话、发函等形式），接到通知后如乙方未按甲方通知时间安排人员到甲方指定地点驻场办公</w:t>
      </w:r>
      <w:r>
        <w:rPr>
          <w:rFonts w:hint="eastAsia" w:ascii="宋体" w:hAnsi="宋体" w:eastAsia="宋体" w:cs="宋体"/>
          <w:color w:val="auto"/>
          <w:sz w:val="28"/>
          <w:szCs w:val="28"/>
          <w:highlight w:val="none"/>
        </w:rPr>
        <w:t>则视为违约，</w:t>
      </w:r>
      <w:r>
        <w:rPr>
          <w:rFonts w:hint="eastAsia" w:ascii="宋体" w:hAnsi="宋体" w:eastAsia="宋体" w:cs="宋体"/>
          <w:color w:val="auto"/>
          <w:sz w:val="28"/>
          <w:szCs w:val="28"/>
          <w:highlight w:val="none"/>
          <w:lang w:eastAsia="zh-CN"/>
        </w:rPr>
        <w:t>造价技术人员</w:t>
      </w:r>
      <w:r>
        <w:rPr>
          <w:rFonts w:hint="eastAsia" w:ascii="宋体" w:hAnsi="宋体" w:eastAsia="宋体" w:cs="宋体"/>
          <w:color w:val="auto"/>
          <w:sz w:val="28"/>
          <w:szCs w:val="28"/>
          <w:highlight w:val="none"/>
        </w:rPr>
        <w:t>每</w:t>
      </w:r>
      <w:r>
        <w:rPr>
          <w:rFonts w:hint="eastAsia" w:ascii="宋体" w:hAnsi="宋体" w:eastAsia="宋体" w:cs="宋体"/>
          <w:color w:val="auto"/>
          <w:sz w:val="28"/>
          <w:szCs w:val="28"/>
          <w:highlight w:val="none"/>
          <w:lang w:eastAsia="zh-CN"/>
        </w:rPr>
        <w:t>延迟</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天到达乙方需承担违约金为</w:t>
      </w:r>
      <w:r>
        <w:rPr>
          <w:rFonts w:hint="eastAsia" w:ascii="宋体" w:hAnsi="宋体" w:eastAsia="宋体" w:cs="宋体"/>
          <w:color w:val="auto"/>
          <w:sz w:val="28"/>
          <w:szCs w:val="28"/>
          <w:highlight w:val="none"/>
        </w:rPr>
        <w:t>人民币</w:t>
      </w:r>
      <w:r>
        <w:rPr>
          <w:rFonts w:hint="eastAsia" w:ascii="宋体" w:hAnsi="宋体" w:eastAsia="宋体" w:cs="宋体"/>
          <w:color w:val="auto"/>
          <w:sz w:val="28"/>
          <w:szCs w:val="28"/>
          <w:highlight w:val="none"/>
          <w:lang w:eastAsia="zh-CN"/>
        </w:rPr>
        <w:t>壹</w:t>
      </w:r>
      <w:r>
        <w:rPr>
          <w:rFonts w:hint="eastAsia" w:ascii="宋体" w:hAnsi="宋体" w:eastAsia="宋体" w:cs="宋体"/>
          <w:color w:val="auto"/>
          <w:sz w:val="28"/>
          <w:szCs w:val="28"/>
          <w:highlight w:val="none"/>
        </w:rPr>
        <w:t>仟元</w:t>
      </w:r>
      <w:r>
        <w:rPr>
          <w:rFonts w:hint="eastAsia" w:ascii="宋体" w:hAnsi="宋体" w:eastAsia="宋体" w:cs="宋体"/>
          <w:color w:val="auto"/>
          <w:sz w:val="28"/>
          <w:szCs w:val="28"/>
          <w:highlight w:val="none"/>
          <w:lang w:eastAsia="zh-CN"/>
        </w:rPr>
        <w:t>，延迟两天为贰仟元，以此类推，</w:t>
      </w:r>
      <w:r>
        <w:rPr>
          <w:rFonts w:hint="eastAsia" w:ascii="宋体" w:hAnsi="宋体" w:eastAsia="宋体" w:cs="宋体"/>
          <w:color w:val="auto"/>
          <w:sz w:val="28"/>
          <w:szCs w:val="28"/>
          <w:highlight w:val="none"/>
          <w:lang w:val="en-US" w:eastAsia="zh-CN"/>
        </w:rPr>
        <w:t>违约金总限额不超过合同总价的10%。</w:t>
      </w:r>
      <w:r>
        <w:rPr>
          <w:rFonts w:hint="eastAsia" w:ascii="宋体" w:hAnsi="宋体" w:eastAsia="宋体" w:cs="宋体"/>
          <w:color w:val="auto"/>
          <w:sz w:val="28"/>
          <w:szCs w:val="28"/>
          <w:highlight w:val="none"/>
          <w:lang w:eastAsia="zh-CN"/>
        </w:rPr>
        <w:t>违约金由甲方从咨询费中扣除。（驻场人员发生的安全问题，其责任由乙方自行承担。）</w:t>
      </w:r>
    </w:p>
    <w:p w14:paraId="519B5881">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出具的审核成果在未取得</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认可前的所有审核结果资料，均需注明该审核结论为征求意见稿，待</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确认并</w:t>
      </w:r>
      <w:r>
        <w:rPr>
          <w:rFonts w:hint="eastAsia" w:ascii="宋体" w:hAnsi="宋体" w:eastAsia="宋体" w:cs="宋体"/>
          <w:color w:val="auto"/>
          <w:sz w:val="28"/>
          <w:szCs w:val="28"/>
          <w:highlight w:val="none"/>
          <w:lang w:val="en-US" w:eastAsia="zh-CN"/>
        </w:rPr>
        <w:t>以</w:t>
      </w:r>
      <w:r>
        <w:rPr>
          <w:rFonts w:hint="eastAsia" w:ascii="宋体" w:hAnsi="宋体" w:eastAsia="宋体" w:cs="宋体"/>
          <w:color w:val="auto"/>
          <w:sz w:val="28"/>
          <w:szCs w:val="28"/>
          <w:highlight w:val="none"/>
        </w:rPr>
        <w:t>文字形式通知</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后，方可将最终审核结果资料名称改为审定稿，并以审定稿作为审核结果。</w:t>
      </w:r>
    </w:p>
    <w:p w14:paraId="59296BCC">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四、质量标准：</w:t>
      </w:r>
    </w:p>
    <w:p w14:paraId="64955E00">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要严格遵守国家的法律、法规和有关规章制度，严格遵守各自行业的行为准则、审核规程及质量要求，严格遵守《政府投资项目审计规定》、《广西壮族自治区政府投资建设项目审计办法》、《工程造价咨询单位执业行为准则》、《造价工程师职业道德行为准则》及与</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签订的合同的相关规定、考评办法。</w:t>
      </w:r>
    </w:p>
    <w:p w14:paraId="7F55F2C4">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按国家、自治区及行业规范要求进行</w:t>
      </w:r>
      <w:r>
        <w:rPr>
          <w:rFonts w:hint="eastAsia" w:ascii="宋体" w:hAnsi="宋体" w:eastAsia="宋体" w:cs="宋体"/>
          <w:color w:val="auto"/>
          <w:sz w:val="28"/>
          <w:szCs w:val="28"/>
          <w:highlight w:val="none"/>
          <w:lang w:eastAsia="zh-CN"/>
        </w:rPr>
        <w:t>审核工作并</w:t>
      </w:r>
      <w:r>
        <w:rPr>
          <w:rFonts w:hint="eastAsia" w:ascii="宋体" w:hAnsi="宋体" w:eastAsia="宋体" w:cs="宋体"/>
          <w:color w:val="auto"/>
          <w:sz w:val="28"/>
          <w:szCs w:val="28"/>
          <w:highlight w:val="none"/>
        </w:rPr>
        <w:t>编制成果文件，并对成果文件负责,成果文件须经过河池市</w:t>
      </w:r>
      <w:r>
        <w:rPr>
          <w:rFonts w:hint="eastAsia" w:ascii="宋体" w:hAnsi="宋体" w:cs="宋体"/>
          <w:color w:val="auto"/>
          <w:sz w:val="28"/>
          <w:szCs w:val="28"/>
          <w:highlight w:val="none"/>
          <w:lang w:val="en-US" w:eastAsia="zh-CN"/>
        </w:rPr>
        <w:t>审计局、</w:t>
      </w:r>
      <w:r>
        <w:rPr>
          <w:rFonts w:hint="eastAsia" w:ascii="宋体" w:hAnsi="宋体" w:eastAsia="宋体" w:cs="宋体"/>
          <w:color w:val="auto"/>
          <w:sz w:val="28"/>
          <w:szCs w:val="28"/>
          <w:highlight w:val="none"/>
        </w:rPr>
        <w:t>财政评</w:t>
      </w:r>
      <w:r>
        <w:rPr>
          <w:rFonts w:hint="eastAsia" w:ascii="宋体" w:hAnsi="宋体" w:eastAsia="宋体" w:cs="宋体"/>
          <w:color w:val="auto"/>
          <w:sz w:val="28"/>
          <w:szCs w:val="28"/>
          <w:highlight w:val="none"/>
          <w:lang w:val="en-US" w:eastAsia="zh-CN"/>
        </w:rPr>
        <w:t>审</w:t>
      </w:r>
      <w:r>
        <w:rPr>
          <w:rFonts w:hint="eastAsia" w:ascii="宋体" w:hAnsi="宋体" w:eastAsia="宋体" w:cs="宋体"/>
          <w:color w:val="auto"/>
          <w:sz w:val="28"/>
          <w:szCs w:val="28"/>
          <w:highlight w:val="none"/>
        </w:rPr>
        <w:t>中心审批或</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认可。</w:t>
      </w:r>
    </w:p>
    <w:p w14:paraId="4674836D">
      <w:pPr>
        <w:pStyle w:val="5"/>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color w:val="auto"/>
          <w:highlight w:val="none"/>
        </w:rPr>
      </w:pPr>
      <w:r>
        <w:rPr>
          <w:rFonts w:hint="eastAsia" w:ascii="宋体" w:hAnsi="宋体" w:eastAsia="宋体" w:cs="宋体"/>
          <w:color w:val="auto"/>
          <w:sz w:val="28"/>
          <w:szCs w:val="28"/>
          <w:highlight w:val="none"/>
        </w:rPr>
        <w:t>3.工程</w:t>
      </w:r>
      <w:r>
        <w:rPr>
          <w:rFonts w:hint="eastAsia" w:ascii="宋体" w:hAnsi="宋体" w:eastAsia="宋体" w:cs="宋体"/>
          <w:color w:val="auto"/>
          <w:sz w:val="28"/>
          <w:szCs w:val="28"/>
          <w:highlight w:val="none"/>
          <w:lang w:eastAsia="zh-CN"/>
        </w:rPr>
        <w:t>预</w:t>
      </w:r>
      <w:r>
        <w:rPr>
          <w:rFonts w:hint="eastAsia" w:ascii="宋体" w:hAnsi="宋体" w:eastAsia="宋体" w:cs="宋体"/>
          <w:color w:val="auto"/>
          <w:sz w:val="28"/>
          <w:szCs w:val="28"/>
          <w:highlight w:val="none"/>
        </w:rPr>
        <w:t>算审核需采用博奥软件制作，工程量需要根据</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提供的</w:t>
      </w:r>
      <w:r>
        <w:rPr>
          <w:rFonts w:hint="eastAsia" w:ascii="宋体" w:hAnsi="宋体" w:eastAsia="宋体" w:cs="宋体"/>
          <w:color w:val="auto"/>
          <w:sz w:val="28"/>
          <w:szCs w:val="28"/>
          <w:highlight w:val="none"/>
          <w:lang w:eastAsia="zh-CN"/>
        </w:rPr>
        <w:t>工程</w:t>
      </w:r>
      <w:r>
        <w:rPr>
          <w:rFonts w:hint="eastAsia" w:ascii="宋体" w:hAnsi="宋体" w:eastAsia="宋体" w:cs="宋体"/>
          <w:color w:val="auto"/>
          <w:sz w:val="28"/>
          <w:szCs w:val="28"/>
          <w:highlight w:val="none"/>
        </w:rPr>
        <w:t>资料、</w:t>
      </w:r>
      <w:r>
        <w:rPr>
          <w:rFonts w:hint="eastAsia" w:ascii="宋体" w:hAnsi="宋体" w:eastAsia="宋体" w:cs="宋体"/>
          <w:color w:val="auto"/>
          <w:sz w:val="28"/>
          <w:szCs w:val="28"/>
          <w:highlight w:val="none"/>
          <w:lang w:eastAsia="zh-CN"/>
        </w:rPr>
        <w:t>工程</w:t>
      </w:r>
      <w:r>
        <w:rPr>
          <w:rFonts w:hint="eastAsia" w:ascii="宋体" w:hAnsi="宋体" w:eastAsia="宋体" w:cs="宋体"/>
          <w:color w:val="auto"/>
          <w:sz w:val="28"/>
          <w:szCs w:val="28"/>
          <w:highlight w:val="none"/>
        </w:rPr>
        <w:t>现场实际情况并结合工程量清单规范等相关文件规定计算并列出详细计算式。审核</w:t>
      </w:r>
      <w:r>
        <w:rPr>
          <w:rFonts w:hint="eastAsia" w:ascii="宋体" w:hAnsi="宋体" w:eastAsia="宋体" w:cs="宋体"/>
          <w:color w:val="auto"/>
          <w:sz w:val="28"/>
          <w:szCs w:val="28"/>
          <w:highlight w:val="none"/>
          <w:lang w:eastAsia="zh-CN"/>
        </w:rPr>
        <w:t>预</w:t>
      </w:r>
      <w:r>
        <w:rPr>
          <w:rFonts w:hint="eastAsia" w:ascii="宋体" w:hAnsi="宋体" w:eastAsia="宋体" w:cs="宋体"/>
          <w:color w:val="auto"/>
          <w:sz w:val="28"/>
          <w:szCs w:val="28"/>
          <w:highlight w:val="none"/>
        </w:rPr>
        <w:t>算时</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需派人对</w:t>
      </w:r>
      <w:r>
        <w:rPr>
          <w:rFonts w:hint="eastAsia" w:ascii="宋体" w:hAnsi="宋体" w:eastAsia="宋体" w:cs="宋体"/>
          <w:color w:val="auto"/>
          <w:sz w:val="28"/>
          <w:szCs w:val="28"/>
          <w:highlight w:val="none"/>
          <w:lang w:eastAsia="zh-CN"/>
        </w:rPr>
        <w:t>工程</w:t>
      </w:r>
      <w:r>
        <w:rPr>
          <w:rFonts w:hint="eastAsia" w:ascii="宋体" w:hAnsi="宋体" w:eastAsia="宋体" w:cs="宋体"/>
          <w:color w:val="auto"/>
          <w:sz w:val="28"/>
          <w:szCs w:val="28"/>
          <w:highlight w:val="none"/>
        </w:rPr>
        <w:t>现场进行实地勘查。</w:t>
      </w:r>
    </w:p>
    <w:p w14:paraId="27946FFD">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t>.审核质量偏差</w:t>
      </w:r>
    </w:p>
    <w:p w14:paraId="206611A5">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因乙方原因造成</w:t>
      </w:r>
      <w:r>
        <w:rPr>
          <w:rFonts w:hint="eastAsia" w:ascii="宋体" w:hAnsi="宋体" w:eastAsia="宋体" w:cs="宋体"/>
          <w:color w:val="auto"/>
          <w:sz w:val="28"/>
          <w:szCs w:val="28"/>
          <w:highlight w:val="none"/>
          <w:lang w:eastAsia="zh-CN"/>
        </w:rPr>
        <w:t>审核审定价（乙方与施工单位双方盖章认可的预算成果文件）与</w:t>
      </w:r>
      <w:r>
        <w:rPr>
          <w:rFonts w:hint="eastAsia" w:ascii="宋体" w:hAnsi="宋体" w:cs="宋体"/>
          <w:color w:val="auto"/>
          <w:sz w:val="28"/>
          <w:szCs w:val="28"/>
          <w:highlight w:val="none"/>
          <w:lang w:val="en-US" w:eastAsia="zh-CN"/>
        </w:rPr>
        <w:t>河池市</w:t>
      </w:r>
      <w:r>
        <w:rPr>
          <w:rFonts w:hint="eastAsia" w:ascii="宋体" w:hAnsi="宋体" w:eastAsia="宋体" w:cs="宋体"/>
          <w:color w:val="auto"/>
          <w:sz w:val="28"/>
          <w:szCs w:val="28"/>
          <w:highlight w:val="none"/>
          <w:lang w:eastAsia="zh-CN"/>
        </w:rPr>
        <w:t>审计局、财政评审中心或甲方复审的工程预算造价成果误差率(审核审定价与市审计局、财政评审中心或甲方复核确认的预算成果造价之差/审核审定价)超过+3%（含3%）视为乙方违约，乙方须承担由此造成的全部经济损失和法律责任，甲方有权解除合同并拒绝支付该项目的咨询费，已经支付的部分，乙方应退回给甲方。</w:t>
      </w:r>
    </w:p>
    <w:p w14:paraId="4463B731">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5.每年终将对</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受托审核项目的审核准确性及廉政情况进行年度考评，其考评成果将存档，以备查验，作为评定</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lang w:val="en-US" w:eastAsia="zh-CN"/>
        </w:rPr>
        <w:t>服务</w:t>
      </w:r>
      <w:r>
        <w:rPr>
          <w:rFonts w:hint="eastAsia" w:ascii="宋体" w:hAnsi="宋体" w:eastAsia="宋体" w:cs="宋体"/>
          <w:color w:val="auto"/>
          <w:sz w:val="28"/>
          <w:szCs w:val="28"/>
          <w:highlight w:val="none"/>
        </w:rPr>
        <w:t>质量和执业道德的依据。</w:t>
      </w:r>
    </w:p>
    <w:p w14:paraId="6245E1AF">
      <w:pPr>
        <w:widowControl/>
        <w:spacing w:line="360" w:lineRule="auto"/>
        <w:ind w:firstLine="64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五、咨询费用</w:t>
      </w:r>
    </w:p>
    <w:p w14:paraId="3D82B355">
      <w:pPr>
        <w:widowControl/>
        <w:spacing w:line="360" w:lineRule="auto"/>
        <w:ind w:firstLine="560" w:firstLineChars="2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咨询</w:t>
      </w:r>
      <w:r>
        <w:rPr>
          <w:rFonts w:hint="eastAsia" w:ascii="宋体" w:hAnsi="宋体" w:eastAsia="宋体" w:cs="宋体"/>
          <w:color w:val="auto"/>
          <w:sz w:val="28"/>
          <w:szCs w:val="28"/>
          <w:highlight w:val="none"/>
        </w:rPr>
        <w:t>服务费为：</w:t>
      </w:r>
      <w:r>
        <w:rPr>
          <w:rFonts w:hint="eastAsia" w:ascii="宋体" w:hAnsi="宋体" w:eastAsia="宋体" w:cs="宋体"/>
          <w:color w:val="auto"/>
          <w:sz w:val="28"/>
          <w:szCs w:val="28"/>
          <w:highlight w:val="none"/>
          <w:u w:val="single"/>
          <w:lang w:val="en-US" w:eastAsia="zh-CN"/>
        </w:rPr>
        <w:t>固定总价。</w:t>
      </w:r>
    </w:p>
    <w:p w14:paraId="5AF675BD">
      <w:pPr>
        <w:pStyle w:val="7"/>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根据成交通知书，本项目</w:t>
      </w:r>
      <w:r>
        <w:rPr>
          <w:rFonts w:hint="eastAsia" w:ascii="宋体" w:hAnsi="宋体" w:eastAsia="宋体" w:cs="宋体"/>
          <w:color w:val="auto"/>
          <w:sz w:val="28"/>
          <w:szCs w:val="28"/>
          <w:highlight w:val="none"/>
        </w:rPr>
        <w:t>咨询费</w:t>
      </w:r>
      <w:r>
        <w:rPr>
          <w:rFonts w:hint="eastAsia" w:ascii="宋体" w:hAnsi="宋体" w:eastAsia="宋体" w:cs="宋体"/>
          <w:color w:val="auto"/>
          <w:sz w:val="28"/>
          <w:szCs w:val="28"/>
          <w:highlight w:val="none"/>
          <w:u w:val="single"/>
          <w:lang w:val="en-US" w:eastAsia="zh-CN"/>
        </w:rPr>
        <w:t xml:space="preserve">含税总价为人民币（¥      ），其中不含税金额为人民币（¥      ）  ，税金为人民币（¥      ） ，税率为     </w:t>
      </w:r>
      <w:r>
        <w:rPr>
          <w:rFonts w:hint="eastAsia" w:ascii="宋体" w:hAnsi="宋体" w:eastAsia="宋体" w:cs="宋体"/>
          <w:color w:val="auto"/>
          <w:sz w:val="28"/>
          <w:szCs w:val="28"/>
          <w:highlight w:val="none"/>
        </w:rPr>
        <w:t>。</w:t>
      </w:r>
    </w:p>
    <w:p w14:paraId="79BFFB72">
      <w:pPr>
        <w:pStyle w:val="7"/>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kern w:val="2"/>
          <w:sz w:val="28"/>
          <w:szCs w:val="28"/>
          <w:highlight w:val="none"/>
          <w:lang w:val="en-US" w:eastAsia="zh-CN" w:bidi="ar-SA"/>
        </w:rPr>
        <w:t>（3）咨询费用为乙方为完成本合同规定所需的全部费用，包括但不限于：服务费、审核费、驻场人员差旅费、税金等。</w:t>
      </w:r>
    </w:p>
    <w:p w14:paraId="248FBBE4">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六、合同文件的构成</w:t>
      </w:r>
    </w:p>
    <w:p w14:paraId="20960526">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本协议书与下列文件一起构成合同文件:</w:t>
      </w:r>
    </w:p>
    <w:p w14:paraId="42DA648C">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1.通用条件；</w:t>
      </w:r>
    </w:p>
    <w:p w14:paraId="7D1EE87F">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2.专用条件；</w:t>
      </w:r>
    </w:p>
    <w:p w14:paraId="2E439DB9">
      <w:pPr>
        <w:pStyle w:val="7"/>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3.廉政合同。</w:t>
      </w:r>
    </w:p>
    <w:p w14:paraId="20DAD5D6">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上述各项合同文件包括合同当事人就该项合同文件所作出的补充和修改，属于同一类内容的文件，应以最新签署的为准。</w:t>
      </w:r>
    </w:p>
    <w:p w14:paraId="4A5B790A">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在合同订立及履行过程中形成的与合同有关的文件（包括补充协议）均构成合同文件的组成部分。</w:t>
      </w:r>
    </w:p>
    <w:p w14:paraId="36B52CA4">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七、词语定义</w:t>
      </w:r>
    </w:p>
    <w:p w14:paraId="4300724D">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协议书中相关词语的含义与通用条件中的定义与解释相同。</w:t>
      </w:r>
    </w:p>
    <w:p w14:paraId="3F8F02EE">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八、合同订立</w:t>
      </w:r>
    </w:p>
    <w:p w14:paraId="5AFDF765">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1.订立时间：</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日。</w:t>
      </w:r>
    </w:p>
    <w:p w14:paraId="2F3DA62A">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2.订立地点：河池市金城江区</w:t>
      </w:r>
    </w:p>
    <w:p w14:paraId="399B93F0">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九、合同生效</w:t>
      </w:r>
    </w:p>
    <w:p w14:paraId="1DA51752">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合同从签订之日起生效，至协助建设单位完成</w:t>
      </w:r>
      <w:r>
        <w:rPr>
          <w:rFonts w:hint="eastAsia" w:ascii="宋体" w:hAnsi="宋体" w:eastAsia="宋体" w:cs="宋体"/>
          <w:color w:val="auto"/>
          <w:sz w:val="28"/>
          <w:szCs w:val="28"/>
          <w:highlight w:val="none"/>
          <w:lang w:val="en-US" w:eastAsia="zh-CN"/>
        </w:rPr>
        <w:t>项目竣工结算</w:t>
      </w:r>
      <w:r>
        <w:rPr>
          <w:rFonts w:hint="eastAsia" w:ascii="宋体" w:hAnsi="宋体" w:eastAsia="宋体" w:cs="宋体"/>
          <w:color w:val="auto"/>
          <w:sz w:val="28"/>
          <w:szCs w:val="28"/>
          <w:highlight w:val="none"/>
        </w:rPr>
        <w:t>审核完毕为止。</w:t>
      </w:r>
    </w:p>
    <w:p w14:paraId="760E4B9F">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十、合同份数</w:t>
      </w:r>
    </w:p>
    <w:p w14:paraId="5614F5AF">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本合同一式</w:t>
      </w:r>
      <w:r>
        <w:rPr>
          <w:rFonts w:hint="eastAsia" w:ascii="宋体" w:hAnsi="宋体" w:eastAsia="宋体" w:cs="宋体"/>
          <w:color w:val="auto"/>
          <w:sz w:val="28"/>
          <w:szCs w:val="28"/>
          <w:highlight w:val="none"/>
          <w:u w:val="single"/>
        </w:rPr>
        <w:t>肆</w:t>
      </w:r>
      <w:r>
        <w:rPr>
          <w:rFonts w:hint="eastAsia" w:ascii="宋体" w:hAnsi="宋体" w:eastAsia="宋体" w:cs="宋体"/>
          <w:color w:val="auto"/>
          <w:sz w:val="28"/>
          <w:szCs w:val="28"/>
          <w:highlight w:val="none"/>
        </w:rPr>
        <w:t>份，具有同等法律效力，其中</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执</w:t>
      </w:r>
      <w:r>
        <w:rPr>
          <w:rFonts w:hint="eastAsia" w:ascii="宋体" w:hAnsi="宋体" w:eastAsia="宋体" w:cs="宋体"/>
          <w:color w:val="auto"/>
          <w:sz w:val="28"/>
          <w:szCs w:val="28"/>
          <w:highlight w:val="none"/>
          <w:u w:val="single"/>
        </w:rPr>
        <w:t>贰</w:t>
      </w:r>
      <w:r>
        <w:rPr>
          <w:rFonts w:hint="eastAsia" w:ascii="宋体" w:hAnsi="宋体" w:eastAsia="宋体" w:cs="宋体"/>
          <w:color w:val="auto"/>
          <w:sz w:val="28"/>
          <w:szCs w:val="28"/>
          <w:highlight w:val="none"/>
        </w:rPr>
        <w:t>份，</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执</w:t>
      </w:r>
      <w:r>
        <w:rPr>
          <w:rFonts w:hint="eastAsia" w:ascii="宋体" w:hAnsi="宋体" w:eastAsia="宋体" w:cs="宋体"/>
          <w:color w:val="auto"/>
          <w:sz w:val="28"/>
          <w:szCs w:val="28"/>
          <w:highlight w:val="none"/>
          <w:u w:val="single"/>
        </w:rPr>
        <w:t>贰</w:t>
      </w:r>
      <w:r>
        <w:rPr>
          <w:rFonts w:hint="eastAsia" w:ascii="宋体" w:hAnsi="宋体" w:eastAsia="宋体" w:cs="宋体"/>
          <w:color w:val="auto"/>
          <w:sz w:val="28"/>
          <w:szCs w:val="28"/>
          <w:highlight w:val="none"/>
        </w:rPr>
        <w:t>份。</w:t>
      </w:r>
    </w:p>
    <w:p w14:paraId="4EFD963C">
      <w:pPr>
        <w:pStyle w:val="7"/>
        <w:rPr>
          <w:rFonts w:hint="eastAsia" w:ascii="宋体" w:hAnsi="宋体" w:eastAsia="宋体" w:cs="宋体"/>
          <w:color w:val="auto"/>
          <w:sz w:val="28"/>
          <w:szCs w:val="28"/>
          <w:highlight w:val="none"/>
        </w:rPr>
      </w:pPr>
    </w:p>
    <w:tbl>
      <w:tblPr>
        <w:tblStyle w:val="10"/>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3B2D98F4">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746BB1A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4928191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225B42B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10F66F30">
            <w:pPr>
              <w:pStyle w:val="23"/>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color w:val="auto"/>
                <w:highlight w:val="none"/>
              </w:rPr>
            </w:pPr>
          </w:p>
        </w:tc>
      </w:tr>
      <w:tr w14:paraId="7B9A114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0373938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7C105A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517" w:type="dxa"/>
            <w:shd w:val="clear" w:color="auto" w:fill="FFFFFF"/>
            <w:noWrap/>
            <w:vAlign w:val="center"/>
          </w:tcPr>
          <w:p w14:paraId="1DC36D6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190FBC5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037264A0">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2C15350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2F60781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62F6E60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D2984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517" w:type="dxa"/>
            <w:shd w:val="clear" w:color="auto" w:fill="FFFFFF"/>
            <w:noWrap/>
            <w:vAlign w:val="center"/>
          </w:tcPr>
          <w:p w14:paraId="1F87C3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76ED8FAA">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FB5E6C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3289325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517" w:type="dxa"/>
            <w:shd w:val="clear" w:color="auto" w:fill="FFFFFF"/>
            <w:noWrap/>
            <w:vAlign w:val="center"/>
          </w:tcPr>
          <w:p w14:paraId="511B0D8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01F7F4B1">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764B4A7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517" w:type="dxa"/>
            <w:shd w:val="clear" w:color="auto" w:fill="FFFFFF"/>
            <w:noWrap/>
            <w:vAlign w:val="center"/>
          </w:tcPr>
          <w:p w14:paraId="7F0DE6E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782B269D">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1DC6658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20395A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517" w:type="dxa"/>
            <w:shd w:val="clear" w:color="auto" w:fill="FFFFFF"/>
            <w:noWrap/>
            <w:vAlign w:val="center"/>
          </w:tcPr>
          <w:p w14:paraId="7E42D1F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758F200D">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4FC633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15ED774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517" w:type="dxa"/>
            <w:shd w:val="clear" w:color="auto" w:fill="FFFFFF"/>
            <w:noWrap/>
            <w:vAlign w:val="center"/>
          </w:tcPr>
          <w:p w14:paraId="57C826E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585C791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E469A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color w:val="auto"/>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r>
              <w:rPr>
                <w:rFonts w:hint="eastAsia" w:ascii="宋体" w:hAnsi="宋体" w:eastAsia="宋体" w:cs="宋体"/>
                <w:color w:val="auto"/>
                <w:sz w:val="28"/>
                <w:szCs w:val="28"/>
                <w:highlight w:val="none"/>
                <w:u w:val="none"/>
                <w:lang w:val="en-US" w:eastAsia="zh-CN"/>
              </w:rPr>
              <w:t>7300 0500 0000 0001 4504</w:t>
            </w:r>
          </w:p>
        </w:tc>
        <w:tc>
          <w:tcPr>
            <w:tcW w:w="4517" w:type="dxa"/>
            <w:shd w:val="clear" w:color="auto" w:fill="FFFFFF"/>
            <w:noWrap/>
            <w:vAlign w:val="center"/>
          </w:tcPr>
          <w:p w14:paraId="714287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35E3EDF7">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3247ACE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517" w:type="dxa"/>
            <w:shd w:val="clear" w:color="auto" w:fill="FFFFFF"/>
            <w:noWrap/>
            <w:vAlign w:val="center"/>
          </w:tcPr>
          <w:p w14:paraId="6BEF98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2DF43B53">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C9F98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5C110AF6">
      <w:pPr>
        <w:pStyle w:val="7"/>
        <w:rPr>
          <w:rFonts w:hint="eastAsia"/>
          <w:color w:val="auto"/>
          <w:highlight w:val="none"/>
          <w:lang w:val="en-US" w:eastAsia="zh-CN"/>
        </w:rPr>
      </w:pPr>
    </w:p>
    <w:p w14:paraId="16690E58">
      <w:pPr>
        <w:pStyle w:val="3"/>
        <w:jc w:val="center"/>
        <w:outlineLvl w:val="0"/>
        <w:rPr>
          <w:rFonts w:asciiTheme="minorEastAsia" w:hAnsiTheme="minorEastAsia" w:eastAsiaTheme="minorEastAsia" w:cstheme="minorEastAsia"/>
          <w:b/>
          <w:color w:val="auto"/>
          <w:sz w:val="32"/>
          <w:szCs w:val="32"/>
          <w:highlight w:val="none"/>
        </w:rPr>
      </w:pPr>
      <w:r>
        <w:rPr>
          <w:rFonts w:hint="eastAsia" w:ascii="华文中宋" w:hAnsi="华文中宋" w:eastAsia="华文中宋" w:cs="Times New Roman"/>
          <w:color w:val="auto"/>
          <w:sz w:val="44"/>
          <w:szCs w:val="44"/>
          <w:highlight w:val="none"/>
          <w:lang w:val="en-US" w:eastAsia="zh-CN"/>
        </w:rPr>
        <w:t>第二部分 通用条件</w:t>
      </w:r>
    </w:p>
    <w:p w14:paraId="154EFF38">
      <w:pPr>
        <w:spacing w:line="360" w:lineRule="exact"/>
        <w:ind w:firstLine="643" w:firstLineChars="200"/>
        <w:rPr>
          <w:rFonts w:asciiTheme="minorEastAsia" w:hAnsiTheme="minorEastAsia" w:eastAsiaTheme="minorEastAsia" w:cstheme="minorEastAsia"/>
          <w:b/>
          <w:color w:val="auto"/>
          <w:sz w:val="32"/>
          <w:szCs w:val="32"/>
          <w:highlight w:val="none"/>
        </w:rPr>
      </w:pPr>
      <w:r>
        <w:rPr>
          <w:rFonts w:hint="eastAsia" w:asciiTheme="minorEastAsia" w:hAnsiTheme="minorEastAsia" w:eastAsiaTheme="minorEastAsia" w:cstheme="minorEastAsia"/>
          <w:b/>
          <w:color w:val="auto"/>
          <w:sz w:val="32"/>
          <w:szCs w:val="32"/>
          <w:highlight w:val="none"/>
        </w:rPr>
        <w:t>采用住房城乡建设部、工商总局制定的《建设工程造价咨询合同（示范文本）》（GF-2015-0212）。</w:t>
      </w:r>
    </w:p>
    <w:p w14:paraId="33EE5CE9">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12FD019B">
      <w:pPr>
        <w:pStyle w:val="7"/>
        <w:rPr>
          <w:color w:val="auto"/>
          <w:highlight w:val="none"/>
        </w:rPr>
      </w:pPr>
    </w:p>
    <w:p w14:paraId="7C1C6758">
      <w:pPr>
        <w:spacing w:line="360" w:lineRule="exact"/>
        <w:rPr>
          <w:rFonts w:asciiTheme="minorEastAsia" w:hAnsiTheme="minorEastAsia" w:eastAsiaTheme="minorEastAsia" w:cstheme="minorEastAsia"/>
          <w:b/>
          <w:color w:val="auto"/>
          <w:sz w:val="32"/>
          <w:szCs w:val="32"/>
          <w:highlight w:val="none"/>
        </w:rPr>
      </w:pPr>
    </w:p>
    <w:p w14:paraId="569A7EDE">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45B49DB0">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6F784F6C">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69214A17">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47B6A94A">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504EC0AF">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2A3AED92">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366284C6">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22CC62AD">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3F552A80">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016FC65A">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2D639EC1">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6A41B9CE">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1BEEF715">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4325C40D">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7767DE56">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72BAFA33">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03AD6602">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1BF67DBA">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55016EDA">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2628FC25">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59E228AC">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26BD6BE2">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799926B6">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6B226E4E">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3266C465">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7F67C38C">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4D365CD1">
      <w:pPr>
        <w:spacing w:line="360" w:lineRule="exact"/>
        <w:ind w:firstLine="643" w:firstLineChars="200"/>
        <w:jc w:val="center"/>
        <w:rPr>
          <w:rFonts w:asciiTheme="minorEastAsia" w:hAnsiTheme="minorEastAsia" w:eastAsiaTheme="minorEastAsia" w:cstheme="minorEastAsia"/>
          <w:b/>
          <w:color w:val="auto"/>
          <w:sz w:val="32"/>
          <w:szCs w:val="32"/>
          <w:highlight w:val="none"/>
        </w:rPr>
      </w:pPr>
    </w:p>
    <w:p w14:paraId="6A8F258D">
      <w:pPr>
        <w:pStyle w:val="3"/>
        <w:jc w:val="center"/>
        <w:outlineLvl w:val="0"/>
        <w:rPr>
          <w:rFonts w:hint="eastAsia" w:ascii="华文中宋" w:hAnsi="华文中宋" w:eastAsia="华文中宋" w:cs="Times New Roman"/>
          <w:color w:val="auto"/>
          <w:sz w:val="44"/>
          <w:szCs w:val="44"/>
          <w:highlight w:val="none"/>
        </w:rPr>
      </w:pPr>
      <w:r>
        <w:rPr>
          <w:rFonts w:hint="eastAsia" w:ascii="华文中宋" w:hAnsi="华文中宋" w:eastAsia="华文中宋" w:cs="Times New Roman"/>
          <w:color w:val="auto"/>
          <w:sz w:val="44"/>
          <w:szCs w:val="44"/>
          <w:highlight w:val="none"/>
        </w:rPr>
        <w:t>第三部分  专用条件</w:t>
      </w:r>
    </w:p>
    <w:p w14:paraId="76AFC91E">
      <w:pPr>
        <w:keepNext w:val="0"/>
        <w:keepLines w:val="0"/>
        <w:pageBreakBefore w:val="0"/>
        <w:wordWrap/>
        <w:topLinePunct w:val="0"/>
        <w:autoSpaceDE/>
        <w:autoSpaceDN/>
        <w:bidi w:val="0"/>
        <w:adjustRightInd/>
        <w:spacing w:line="520" w:lineRule="exact"/>
        <w:textAlignment w:val="auto"/>
        <w:outlineLvl w:val="0"/>
        <w:rPr>
          <w:rFonts w:ascii="仿宋" w:hAnsi="仿宋" w:eastAsia="仿宋" w:cs="仿宋"/>
          <w:b/>
          <w:color w:val="auto"/>
          <w:sz w:val="30"/>
          <w:szCs w:val="30"/>
          <w:highlight w:val="none"/>
        </w:rPr>
      </w:pPr>
      <w:r>
        <w:rPr>
          <w:rFonts w:hint="eastAsia" w:ascii="宋体" w:hAnsi="宋体" w:eastAsia="宋体" w:cs="宋体"/>
          <w:b/>
          <w:color w:val="auto"/>
          <w:sz w:val="28"/>
          <w:szCs w:val="28"/>
          <w:highlight w:val="none"/>
        </w:rPr>
        <w:t>1.词语定义、语言、解释顺序与适用法律</w:t>
      </w:r>
    </w:p>
    <w:p w14:paraId="1553FB9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1.2语言</w:t>
      </w:r>
    </w:p>
    <w:p w14:paraId="5FD0453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本合同文件使用中文。</w:t>
      </w:r>
    </w:p>
    <w:p w14:paraId="002FD92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1.3合同文件的优先顺序</w:t>
      </w:r>
    </w:p>
    <w:p w14:paraId="2130B7BC">
      <w:pPr>
        <w:keepNext w:val="0"/>
        <w:keepLines w:val="0"/>
        <w:pageBreakBefore w:val="0"/>
        <w:widowControl/>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本合同文件的解释顺序为：</w:t>
      </w:r>
      <w:r>
        <w:rPr>
          <w:rFonts w:hint="eastAsia" w:ascii="宋体" w:hAnsi="宋体" w:cs="宋体"/>
          <w:color w:val="auto"/>
          <w:sz w:val="28"/>
          <w:szCs w:val="28"/>
          <w:highlight w:val="none"/>
          <w:lang w:val="en-US" w:eastAsia="zh-CN"/>
        </w:rPr>
        <w:t>1.合同协议书；</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.专用条件；</w:t>
      </w:r>
      <w:r>
        <w:rPr>
          <w:rFonts w:hint="eastAsia" w:ascii="宋体" w:hAnsi="宋体" w:cs="宋体"/>
          <w:color w:val="auto"/>
          <w:sz w:val="28"/>
          <w:szCs w:val="28"/>
          <w:highlight w:val="none"/>
          <w:lang w:val="en-US" w:eastAsia="zh-CN"/>
        </w:rPr>
        <w:t>3</w:t>
      </w:r>
      <w:r>
        <w:rPr>
          <w:rFonts w:hint="eastAsia" w:ascii="宋体" w:hAnsi="宋体" w:eastAsia="宋体" w:cs="宋体"/>
          <w:color w:val="auto"/>
          <w:sz w:val="28"/>
          <w:szCs w:val="28"/>
          <w:highlight w:val="none"/>
        </w:rPr>
        <w:t>.通用条件；</w:t>
      </w:r>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lang w:val="en-US" w:eastAsia="zh-CN"/>
        </w:rPr>
        <w:t>.廉政合同。</w:t>
      </w:r>
    </w:p>
    <w:p w14:paraId="4D97501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1.4适用法律</w:t>
      </w:r>
    </w:p>
    <w:p w14:paraId="5BA978B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本合同适用的其他规范性文件包括:</w:t>
      </w:r>
    </w:p>
    <w:p w14:paraId="372E0802">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u w:val="single"/>
        </w:rPr>
        <w:t>国家和广西制定的有关工程建设法律、法规等文件</w:t>
      </w:r>
      <w:r>
        <w:rPr>
          <w:rFonts w:hint="eastAsia" w:ascii="宋体" w:hAnsi="宋体" w:eastAsia="宋体" w:cs="宋体"/>
          <w:color w:val="auto"/>
          <w:sz w:val="28"/>
          <w:szCs w:val="28"/>
          <w:highlight w:val="none"/>
        </w:rPr>
        <w:t>。</w:t>
      </w:r>
    </w:p>
    <w:p w14:paraId="577578C0">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u w:val="single"/>
        </w:rPr>
        <w:t>现行预算定额及费用计价规定</w:t>
      </w:r>
      <w:r>
        <w:rPr>
          <w:rFonts w:hint="eastAsia" w:ascii="宋体" w:hAnsi="宋体" w:eastAsia="宋体" w:cs="宋体"/>
          <w:color w:val="auto"/>
          <w:sz w:val="28"/>
          <w:szCs w:val="28"/>
          <w:highlight w:val="none"/>
        </w:rPr>
        <w:t>。</w:t>
      </w:r>
    </w:p>
    <w:p w14:paraId="41CC215A">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u w:val="single"/>
        </w:rPr>
        <w:t>《政府投资项目审计规定》</w:t>
      </w:r>
      <w:r>
        <w:rPr>
          <w:rFonts w:hint="eastAsia" w:ascii="宋体" w:hAnsi="宋体" w:eastAsia="宋体" w:cs="宋体"/>
          <w:color w:val="auto"/>
          <w:sz w:val="28"/>
          <w:szCs w:val="28"/>
          <w:highlight w:val="none"/>
        </w:rPr>
        <w:t>。</w:t>
      </w:r>
    </w:p>
    <w:p w14:paraId="578BF028">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u w:val="single"/>
        </w:rPr>
        <w:t>《广西壮族自治区政府投资建设项目审计办法》</w:t>
      </w:r>
      <w:r>
        <w:rPr>
          <w:rFonts w:hint="eastAsia" w:ascii="宋体" w:hAnsi="宋体" w:eastAsia="宋体" w:cs="宋体"/>
          <w:color w:val="auto"/>
          <w:sz w:val="28"/>
          <w:szCs w:val="28"/>
          <w:highlight w:val="none"/>
        </w:rPr>
        <w:t>。</w:t>
      </w:r>
    </w:p>
    <w:p w14:paraId="5CE13910">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u w:val="single"/>
        </w:rPr>
        <w:t>《工程造价咨询单位执业行为准则》</w:t>
      </w:r>
      <w:r>
        <w:rPr>
          <w:rFonts w:hint="eastAsia" w:ascii="宋体" w:hAnsi="宋体" w:eastAsia="宋体" w:cs="宋体"/>
          <w:color w:val="auto"/>
          <w:sz w:val="28"/>
          <w:szCs w:val="28"/>
          <w:highlight w:val="none"/>
        </w:rPr>
        <w:t>。</w:t>
      </w:r>
    </w:p>
    <w:p w14:paraId="7AAC8F0E">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u w:val="single"/>
        </w:rPr>
        <w:t>《造价工程师职业道德行为准则》</w:t>
      </w:r>
      <w:r>
        <w:rPr>
          <w:rFonts w:hint="eastAsia" w:ascii="宋体" w:hAnsi="宋体" w:eastAsia="宋体" w:cs="宋体"/>
          <w:color w:val="auto"/>
          <w:sz w:val="28"/>
          <w:szCs w:val="28"/>
          <w:highlight w:val="none"/>
        </w:rPr>
        <w:t>。</w:t>
      </w:r>
    </w:p>
    <w:p w14:paraId="3396A707">
      <w:pPr>
        <w:keepNext w:val="0"/>
        <w:keepLines w:val="0"/>
        <w:pageBreakBefore w:val="0"/>
        <w:wordWrap/>
        <w:topLinePunct w:val="0"/>
        <w:autoSpaceDE/>
        <w:autoSpaceDN/>
        <w:bidi w:val="0"/>
        <w:adjustRightInd/>
        <w:spacing w:line="520" w:lineRule="exact"/>
        <w:textAlignment w:val="auto"/>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2.</w:t>
      </w:r>
      <w:r>
        <w:rPr>
          <w:rFonts w:hint="eastAsia" w:ascii="宋体" w:hAnsi="宋体" w:eastAsia="宋体" w:cs="宋体"/>
          <w:b/>
          <w:color w:val="auto"/>
          <w:sz w:val="28"/>
          <w:szCs w:val="28"/>
          <w:highlight w:val="none"/>
          <w:lang w:eastAsia="zh-CN"/>
        </w:rPr>
        <w:t>甲方</w:t>
      </w:r>
      <w:r>
        <w:rPr>
          <w:rFonts w:hint="eastAsia" w:ascii="宋体" w:hAnsi="宋体" w:eastAsia="宋体" w:cs="宋体"/>
          <w:b/>
          <w:color w:val="auto"/>
          <w:sz w:val="28"/>
          <w:szCs w:val="28"/>
          <w:highlight w:val="none"/>
        </w:rPr>
        <w:t>的义务</w:t>
      </w:r>
    </w:p>
    <w:p w14:paraId="5639AE9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2.1提供资料</w:t>
      </w:r>
    </w:p>
    <w:p w14:paraId="639CDDBB">
      <w:pPr>
        <w:keepNext w:val="0"/>
        <w:keepLines w:val="0"/>
        <w:pageBreakBefore w:val="0"/>
        <w:wordWrap/>
        <w:topLinePunct w:val="0"/>
        <w:autoSpaceDE/>
        <w:autoSpaceDN/>
        <w:bidi w:val="0"/>
        <w:adjustRightInd/>
        <w:spacing w:line="52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提供与本合同咨询业务有关的资料包括：</w:t>
      </w:r>
      <w:r>
        <w:rPr>
          <w:rFonts w:hint="eastAsia" w:ascii="宋体" w:hAnsi="宋体" w:eastAsia="宋体" w:cs="宋体"/>
          <w:color w:val="auto"/>
          <w:sz w:val="28"/>
          <w:szCs w:val="28"/>
          <w:highlight w:val="none"/>
          <w:u w:val="single"/>
        </w:rPr>
        <w:t xml:space="preserve"> EPC总承包招标时资料</w:t>
      </w:r>
      <w:r>
        <w:rPr>
          <w:rFonts w:hint="eastAsia" w:ascii="宋体" w:hAnsi="宋体" w:eastAsia="宋体" w:cs="宋体"/>
          <w:color w:val="auto"/>
          <w:sz w:val="28"/>
          <w:szCs w:val="28"/>
          <w:highlight w:val="none"/>
          <w:u w:val="single"/>
          <w:lang w:eastAsia="zh-CN"/>
        </w:rPr>
        <w:t>、</w:t>
      </w:r>
      <w:r>
        <w:rPr>
          <w:rFonts w:hint="eastAsia" w:ascii="宋体" w:hAnsi="宋体" w:eastAsia="宋体" w:cs="宋体"/>
          <w:color w:val="auto"/>
          <w:sz w:val="28"/>
          <w:szCs w:val="28"/>
          <w:highlight w:val="none"/>
          <w:u w:val="single"/>
        </w:rPr>
        <w:t xml:space="preserve"> 经</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审查认可的</w:t>
      </w:r>
      <w:r>
        <w:rPr>
          <w:rFonts w:hint="eastAsia" w:ascii="宋体" w:hAnsi="宋体" w:eastAsia="宋体" w:cs="宋体"/>
          <w:color w:val="auto"/>
          <w:sz w:val="28"/>
          <w:szCs w:val="28"/>
          <w:highlight w:val="none"/>
          <w:u w:val="single"/>
          <w:lang w:val="en-US" w:eastAsia="zh-CN"/>
        </w:rPr>
        <w:t>施工图</w:t>
      </w:r>
      <w:r>
        <w:rPr>
          <w:rFonts w:hint="eastAsia" w:ascii="宋体" w:hAnsi="宋体" w:eastAsia="宋体" w:cs="宋体"/>
          <w:color w:val="auto"/>
          <w:sz w:val="28"/>
          <w:szCs w:val="28"/>
          <w:highlight w:val="none"/>
          <w:u w:val="single"/>
          <w:lang w:eastAsia="zh-CN"/>
        </w:rPr>
        <w:t>、送审的工程预算</w:t>
      </w:r>
      <w:r>
        <w:rPr>
          <w:rFonts w:hint="eastAsia" w:ascii="宋体" w:hAnsi="宋体" w:eastAsia="宋体" w:cs="宋体"/>
          <w:color w:val="auto"/>
          <w:sz w:val="28"/>
          <w:szCs w:val="28"/>
          <w:highlight w:val="none"/>
          <w:u w:val="single"/>
        </w:rPr>
        <w:t>等相关资料</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甲方提供资料后，双方需在资料清单上签字确认。</w:t>
      </w:r>
    </w:p>
    <w:p w14:paraId="16F2EAC1">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2.2提供工作条件</w:t>
      </w:r>
    </w:p>
    <w:p w14:paraId="60BD377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2.2.1项目</w:t>
      </w:r>
      <w:r>
        <w:rPr>
          <w:rFonts w:hint="eastAsia" w:ascii="宋体" w:hAnsi="宋体" w:eastAsia="宋体" w:cs="宋体"/>
          <w:color w:val="auto"/>
          <w:sz w:val="28"/>
          <w:szCs w:val="28"/>
          <w:highlight w:val="none"/>
          <w:lang w:eastAsia="zh-CN"/>
        </w:rPr>
        <w:t>乙方人</w:t>
      </w:r>
      <w:r>
        <w:rPr>
          <w:rFonts w:hint="eastAsia" w:ascii="宋体" w:hAnsi="宋体" w:eastAsia="宋体" w:cs="宋体"/>
          <w:color w:val="auto"/>
          <w:sz w:val="28"/>
          <w:szCs w:val="28"/>
          <w:highlight w:val="none"/>
        </w:rPr>
        <w:t>员使用由</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提供的房屋及设备，支付使用费的标准为：</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2A5FEE31">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2.3答复</w:t>
      </w:r>
    </w:p>
    <w:p w14:paraId="18E8050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同意</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7</w:t>
      </w:r>
      <w:r>
        <w:rPr>
          <w:rFonts w:hint="eastAsia" w:ascii="宋体" w:hAnsi="宋体" w:cs="宋体"/>
          <w:color w:val="auto"/>
          <w:sz w:val="28"/>
          <w:szCs w:val="28"/>
          <w:highlight w:val="none"/>
          <w:u w:val="none"/>
          <w:lang w:val="en-US" w:eastAsia="zh-CN"/>
        </w:rPr>
        <w:t>工作</w:t>
      </w:r>
      <w:r>
        <w:rPr>
          <w:rFonts w:hint="eastAsia" w:ascii="宋体" w:hAnsi="宋体" w:eastAsia="宋体" w:cs="宋体"/>
          <w:color w:val="auto"/>
          <w:sz w:val="28"/>
          <w:szCs w:val="28"/>
          <w:highlight w:val="none"/>
        </w:rPr>
        <w:t>日内，对</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书面提交并要求做出决定的事宜给予书面答复。逾期未答复的，视为</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认可。</w:t>
      </w:r>
    </w:p>
    <w:p w14:paraId="0F23B625">
      <w:pPr>
        <w:keepNext w:val="0"/>
        <w:keepLines w:val="0"/>
        <w:pageBreakBefore w:val="0"/>
        <w:wordWrap/>
        <w:topLinePunct w:val="0"/>
        <w:autoSpaceDE/>
        <w:autoSpaceDN/>
        <w:bidi w:val="0"/>
        <w:adjustRightInd/>
        <w:spacing w:line="520" w:lineRule="exact"/>
        <w:textAlignment w:val="auto"/>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3.</w:t>
      </w:r>
      <w:r>
        <w:rPr>
          <w:rFonts w:hint="eastAsia" w:ascii="宋体" w:hAnsi="宋体" w:eastAsia="宋体" w:cs="宋体"/>
          <w:b/>
          <w:color w:val="auto"/>
          <w:sz w:val="28"/>
          <w:szCs w:val="28"/>
          <w:highlight w:val="none"/>
          <w:lang w:eastAsia="zh-CN"/>
        </w:rPr>
        <w:t>乙方</w:t>
      </w:r>
      <w:r>
        <w:rPr>
          <w:rFonts w:hint="eastAsia" w:ascii="宋体" w:hAnsi="宋体" w:eastAsia="宋体" w:cs="宋体"/>
          <w:b/>
          <w:color w:val="auto"/>
          <w:sz w:val="28"/>
          <w:szCs w:val="28"/>
          <w:highlight w:val="none"/>
        </w:rPr>
        <w:t>的义务</w:t>
      </w:r>
    </w:p>
    <w:p w14:paraId="21ECDC4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3.1项目咨询团队及人员</w:t>
      </w:r>
    </w:p>
    <w:p w14:paraId="3FAD1104">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3.1.1项目咨询团队人员的数量不少于 3人。</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在合同签订后1个工作日内提供项目咨询团队人员名单及联系方式。</w:t>
      </w:r>
    </w:p>
    <w:p w14:paraId="40B9A1A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本工程服务的造价技术人员不少于3人，其中：</w:t>
      </w:r>
    </w:p>
    <w:p w14:paraId="3C1B1D4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①项目负责人应具有住房和城乡建设部颁发的一级注册造价工程师证书并具有</w:t>
      </w:r>
      <w:r>
        <w:rPr>
          <w:rFonts w:hint="eastAsia" w:ascii="宋体" w:hAnsi="宋体" w:eastAsia="宋体" w:cs="宋体"/>
          <w:color w:val="auto"/>
          <w:sz w:val="28"/>
          <w:szCs w:val="28"/>
          <w:highlight w:val="none"/>
          <w:lang w:val="en-US" w:eastAsia="zh-CN"/>
        </w:rPr>
        <w:t>中</w:t>
      </w:r>
      <w:r>
        <w:rPr>
          <w:rFonts w:hint="eastAsia" w:ascii="宋体" w:hAnsi="宋体" w:eastAsia="宋体" w:cs="宋体"/>
          <w:color w:val="auto"/>
          <w:sz w:val="28"/>
          <w:szCs w:val="28"/>
          <w:highlight w:val="none"/>
        </w:rPr>
        <w:t>级或</w:t>
      </w:r>
      <w:r>
        <w:rPr>
          <w:rFonts w:hint="eastAsia" w:ascii="宋体" w:hAnsi="宋体" w:eastAsia="宋体" w:cs="宋体"/>
          <w:color w:val="auto"/>
          <w:sz w:val="28"/>
          <w:szCs w:val="28"/>
          <w:highlight w:val="none"/>
          <w:lang w:val="en-US" w:eastAsia="zh-CN"/>
        </w:rPr>
        <w:t>中</w:t>
      </w:r>
      <w:r>
        <w:rPr>
          <w:rFonts w:hint="eastAsia" w:ascii="宋体" w:hAnsi="宋体" w:eastAsia="宋体" w:cs="宋体"/>
          <w:color w:val="auto"/>
          <w:sz w:val="28"/>
          <w:szCs w:val="28"/>
          <w:highlight w:val="none"/>
        </w:rPr>
        <w:t>级以上技术职称。</w:t>
      </w:r>
    </w:p>
    <w:p w14:paraId="7142C9C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②项目组其他2名造价技术人员中,造价专业应为土建专业1人，安装专业1人。项目组其他2名造价技术人员中至少有1人为住房和城乡建设部颁发的</w:t>
      </w:r>
      <w:r>
        <w:rPr>
          <w:rFonts w:hint="eastAsia" w:ascii="宋体" w:hAnsi="宋体" w:eastAsia="宋体" w:cs="宋体"/>
          <w:color w:val="auto"/>
          <w:sz w:val="28"/>
          <w:szCs w:val="28"/>
          <w:highlight w:val="none"/>
          <w:lang w:val="en-US" w:eastAsia="zh-CN"/>
        </w:rPr>
        <w:t>土建专业</w:t>
      </w:r>
      <w:r>
        <w:rPr>
          <w:rFonts w:hint="eastAsia" w:ascii="宋体" w:hAnsi="宋体" w:eastAsia="宋体" w:cs="宋体"/>
          <w:color w:val="auto"/>
          <w:sz w:val="28"/>
          <w:szCs w:val="28"/>
          <w:highlight w:val="none"/>
        </w:rPr>
        <w:t>造价工程师。</w:t>
      </w:r>
    </w:p>
    <w:p w14:paraId="2581FF48">
      <w:pPr>
        <w:pStyle w:val="5"/>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③项目咨询团队需提交项目负责人一级造价师</w:t>
      </w:r>
      <w:r>
        <w:rPr>
          <w:rFonts w:hint="eastAsia" w:ascii="宋体" w:hAnsi="宋体" w:eastAsia="宋体" w:cs="宋体"/>
          <w:color w:val="auto"/>
          <w:sz w:val="28"/>
          <w:szCs w:val="28"/>
          <w:highlight w:val="none"/>
          <w:lang w:eastAsia="zh-CN"/>
        </w:rPr>
        <w:t>执</w:t>
      </w:r>
      <w:r>
        <w:rPr>
          <w:rFonts w:hint="eastAsia" w:ascii="宋体" w:hAnsi="宋体" w:eastAsia="宋体" w:cs="宋体"/>
          <w:color w:val="auto"/>
          <w:sz w:val="28"/>
          <w:szCs w:val="28"/>
          <w:highlight w:val="none"/>
        </w:rPr>
        <w:t>业资格证书、职称证书、身份证复印件以及联系方式，项目组造价人员需提交</w:t>
      </w:r>
      <w:r>
        <w:rPr>
          <w:rFonts w:hint="eastAsia" w:ascii="宋体" w:hAnsi="宋体" w:eastAsia="宋体" w:cs="宋体"/>
          <w:color w:val="auto"/>
          <w:sz w:val="28"/>
          <w:szCs w:val="28"/>
          <w:highlight w:val="none"/>
          <w:lang w:eastAsia="zh-CN"/>
        </w:rPr>
        <w:t>执</w:t>
      </w:r>
      <w:r>
        <w:rPr>
          <w:rFonts w:hint="eastAsia" w:ascii="宋体" w:hAnsi="宋体" w:eastAsia="宋体" w:cs="宋体"/>
          <w:color w:val="auto"/>
          <w:sz w:val="28"/>
          <w:szCs w:val="28"/>
          <w:highlight w:val="none"/>
        </w:rPr>
        <w:t>业资格证书</w:t>
      </w:r>
      <w:r>
        <w:rPr>
          <w:rFonts w:hint="eastAsia" w:ascii="宋体" w:hAnsi="宋体" w:eastAsia="宋体" w:cs="宋体"/>
          <w:color w:val="auto"/>
          <w:sz w:val="28"/>
          <w:szCs w:val="28"/>
          <w:highlight w:val="none"/>
          <w:lang w:eastAsia="zh-CN"/>
        </w:rPr>
        <w:t>（如有）</w:t>
      </w:r>
      <w:r>
        <w:rPr>
          <w:rFonts w:hint="eastAsia" w:ascii="宋体" w:hAnsi="宋体" w:eastAsia="宋体" w:cs="宋体"/>
          <w:color w:val="auto"/>
          <w:sz w:val="28"/>
          <w:szCs w:val="28"/>
          <w:highlight w:val="none"/>
        </w:rPr>
        <w:t>、身份证复印件以及联系方式。上述复印件均需加盖单位公章。</w:t>
      </w:r>
    </w:p>
    <w:p w14:paraId="1A4437B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3.1.2项目负责人为：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，项目负责人为履行本合同的权限为:</w:t>
      </w:r>
      <w:r>
        <w:rPr>
          <w:rFonts w:hint="eastAsia" w:ascii="宋体" w:hAnsi="宋体" w:eastAsia="宋体" w:cs="宋体"/>
          <w:color w:val="auto"/>
          <w:sz w:val="28"/>
          <w:szCs w:val="28"/>
          <w:highlight w:val="none"/>
          <w:u w:val="single"/>
        </w:rPr>
        <w:t xml:space="preserve"> 递交造价咨询成果文件，负责本工程造价咨询相关问题的核对、协调</w:t>
      </w:r>
      <w:r>
        <w:rPr>
          <w:rFonts w:hint="eastAsia" w:ascii="宋体" w:hAnsi="宋体" w:eastAsia="宋体" w:cs="宋体"/>
          <w:color w:val="auto"/>
          <w:sz w:val="28"/>
          <w:szCs w:val="28"/>
          <w:highlight w:val="none"/>
        </w:rPr>
        <w:t>。</w:t>
      </w:r>
    </w:p>
    <w:p w14:paraId="075ABD3F">
      <w:pPr>
        <w:pStyle w:val="7"/>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3.1.3  项目组其他成员：</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1933337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3.1.4</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更换项目咨询团队其他</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员的约定：</w:t>
      </w:r>
      <w:r>
        <w:rPr>
          <w:rFonts w:hint="eastAsia" w:ascii="宋体" w:hAnsi="宋体" w:eastAsia="宋体" w:cs="宋体"/>
          <w:color w:val="auto"/>
          <w:sz w:val="28"/>
          <w:szCs w:val="28"/>
          <w:highlight w:val="none"/>
          <w:u w:val="single"/>
        </w:rPr>
        <w:t>非经</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同意，</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u w:val="single"/>
        </w:rPr>
        <w:t>不得擅自更换项目咨询团队其他</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u w:val="single"/>
        </w:rPr>
        <w:t>员</w:t>
      </w:r>
      <w:r>
        <w:rPr>
          <w:rFonts w:hint="eastAsia" w:ascii="宋体" w:hAnsi="宋体" w:eastAsia="宋体" w:cs="宋体"/>
          <w:color w:val="auto"/>
          <w:sz w:val="28"/>
          <w:szCs w:val="28"/>
          <w:highlight w:val="none"/>
        </w:rPr>
        <w:t>。</w:t>
      </w:r>
    </w:p>
    <w:p w14:paraId="644FA46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3.1.5</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要求更换</w:t>
      </w:r>
      <w:r>
        <w:rPr>
          <w:rFonts w:hint="eastAsia" w:ascii="宋体" w:hAnsi="宋体" w:eastAsia="宋体" w:cs="宋体"/>
          <w:color w:val="auto"/>
          <w:sz w:val="28"/>
          <w:szCs w:val="28"/>
          <w:highlight w:val="none"/>
          <w:lang w:eastAsia="zh-CN"/>
        </w:rPr>
        <w:t>乙方人</w:t>
      </w:r>
      <w:r>
        <w:rPr>
          <w:rFonts w:hint="eastAsia" w:ascii="宋体" w:hAnsi="宋体" w:eastAsia="宋体" w:cs="宋体"/>
          <w:color w:val="auto"/>
          <w:sz w:val="28"/>
          <w:szCs w:val="28"/>
          <w:highlight w:val="none"/>
        </w:rPr>
        <w:t>员的情形还包括：</w:t>
      </w:r>
      <w:r>
        <w:rPr>
          <w:rFonts w:hint="eastAsia" w:ascii="宋体" w:hAnsi="宋体" w:eastAsia="宋体" w:cs="宋体"/>
          <w:color w:val="auto"/>
          <w:sz w:val="28"/>
          <w:szCs w:val="28"/>
          <w:highlight w:val="none"/>
          <w:u w:val="single"/>
        </w:rPr>
        <w:t>当</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认定咨询专业人员不按咨询合同履行其职责，或与第三人串通给</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造成经济损失的，</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有权要求更换咨询专业人员，</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u w:val="single"/>
        </w:rPr>
        <w:t>不予更换的，</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可以解除合同，并要求</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u w:val="single"/>
        </w:rPr>
        <w:t>承担全部损失。</w:t>
      </w:r>
    </w:p>
    <w:p w14:paraId="4302DE59">
      <w:pPr>
        <w:keepNext w:val="0"/>
        <w:keepLines w:val="0"/>
        <w:pageBreakBefore w:val="0"/>
        <w:wordWrap/>
        <w:topLinePunct w:val="0"/>
        <w:autoSpaceDE/>
        <w:autoSpaceDN/>
        <w:bidi w:val="0"/>
        <w:adjustRightInd/>
        <w:spacing w:line="52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3.1.</w:t>
      </w:r>
      <w:r>
        <w:rPr>
          <w:rFonts w:hint="eastAsia" w:ascii="宋体" w:hAnsi="宋体" w:eastAsia="宋体" w:cs="宋体"/>
          <w:color w:val="auto"/>
          <w:sz w:val="28"/>
          <w:szCs w:val="28"/>
          <w:highlight w:val="none"/>
          <w:lang w:val="en-US" w:eastAsia="zh-CN"/>
        </w:rPr>
        <w:t>6若项目咨询团队人员离职，乙方需在5日内更换同等资质人员。</w:t>
      </w:r>
    </w:p>
    <w:p w14:paraId="7181E426">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3.2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的工作要求</w:t>
      </w:r>
    </w:p>
    <w:p w14:paraId="1094518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3.2.1</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向</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提供有关资料的时间：</w:t>
      </w:r>
      <w:r>
        <w:rPr>
          <w:rFonts w:hint="eastAsia" w:ascii="宋体" w:hAnsi="宋体" w:eastAsia="宋体" w:cs="宋体"/>
          <w:color w:val="auto"/>
          <w:sz w:val="28"/>
          <w:szCs w:val="28"/>
          <w:highlight w:val="none"/>
          <w:u w:val="single"/>
        </w:rPr>
        <w:t>签订合同之日起两日内</w:t>
      </w:r>
      <w:r>
        <w:rPr>
          <w:rFonts w:hint="eastAsia" w:ascii="宋体" w:hAnsi="宋体" w:eastAsia="宋体" w:cs="宋体"/>
          <w:color w:val="auto"/>
          <w:sz w:val="28"/>
          <w:szCs w:val="28"/>
          <w:highlight w:val="none"/>
        </w:rPr>
        <w:t>。</w:t>
      </w:r>
    </w:p>
    <w:p w14:paraId="771DE53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向</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提供的资料还包括：</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1A0D2B18">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向</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提供咨询成果文件的名称、组成、时间、份数及质量标准：按合同时间要求向</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出具审核报告一式6份、电子档1份、刻录光盘1份（包含但不限于工程量计价软件版、详细的计算式、广联达算量模型）。工程量需要根据甲方提供的图纸及相关文件规定计算并列出详细计算式。 </w:t>
      </w:r>
    </w:p>
    <w:p w14:paraId="5D9B4DD7">
      <w:pPr>
        <w:pStyle w:val="5"/>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3.2.3对于甲方提出需要以询价方式确定的材料价格，乙方应提交至少三家供应商对应的材料价格，并加盖供应商公章。乙方提交的每种材料价格少一家则扣除咨询费500元。</w:t>
      </w:r>
    </w:p>
    <w:p w14:paraId="3F8C453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应在收到</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以书面形式提出的建议或者异议后</w:t>
      </w:r>
      <w:r>
        <w:rPr>
          <w:rFonts w:hint="eastAsia" w:ascii="宋体" w:hAnsi="宋体" w:eastAsia="宋体" w:cs="宋体"/>
          <w:color w:val="auto"/>
          <w:sz w:val="28"/>
          <w:szCs w:val="28"/>
          <w:highlight w:val="none"/>
          <w:u w:val="single"/>
        </w:rPr>
        <w:t xml:space="preserve"> 2 </w:t>
      </w:r>
      <w:r>
        <w:rPr>
          <w:rFonts w:hint="eastAsia" w:ascii="宋体" w:hAnsi="宋体" w:eastAsia="宋体" w:cs="宋体"/>
          <w:color w:val="auto"/>
          <w:sz w:val="28"/>
          <w:szCs w:val="28"/>
          <w:highlight w:val="none"/>
        </w:rPr>
        <w:t>日内给予书面答复。</w:t>
      </w:r>
    </w:p>
    <w:p w14:paraId="18E8E34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可根据项目实际情况，要求</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递交项目咨询的进度安排，</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应给予提供。</w:t>
      </w:r>
    </w:p>
    <w:p w14:paraId="6F4B9FD8">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3.3</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的工作依据</w:t>
      </w:r>
    </w:p>
    <w:p w14:paraId="4BFA7D0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经双方协商，本合同约定的造价咨询服务适用的技术标准、规范、定额等</w:t>
      </w:r>
    </w:p>
    <w:p w14:paraId="5B4791E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工作依据为：</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63764D87">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3.4使用</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房屋及设备的返还</w:t>
      </w:r>
    </w:p>
    <w:p w14:paraId="6082AEF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应在本合同终止后</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日内移交</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提供的房屋及设备，移交的方式为：</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6E13BFAA">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4.违约责任</w:t>
      </w:r>
    </w:p>
    <w:p w14:paraId="3DEDD0AD">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的违约责任</w:t>
      </w:r>
    </w:p>
    <w:p w14:paraId="071FD676">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1甲方</w:t>
      </w:r>
      <w:r>
        <w:rPr>
          <w:rFonts w:hint="eastAsia" w:ascii="宋体" w:hAnsi="宋体" w:eastAsia="宋体" w:cs="宋体"/>
          <w:color w:val="auto"/>
          <w:sz w:val="28"/>
          <w:szCs w:val="28"/>
          <w:highlight w:val="none"/>
        </w:rPr>
        <w:t>逾期付款利息按下列方法确定：每逾期一天，按应付未付金额的0.</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‰计算违约金</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违约金上限为合同价的2%</w:t>
      </w:r>
      <w:r>
        <w:rPr>
          <w:rFonts w:hint="eastAsia" w:ascii="宋体" w:hAnsi="宋体" w:eastAsia="宋体" w:cs="宋体"/>
          <w:color w:val="auto"/>
          <w:sz w:val="28"/>
          <w:szCs w:val="28"/>
          <w:highlight w:val="none"/>
        </w:rPr>
        <w:t>。</w:t>
      </w:r>
    </w:p>
    <w:p w14:paraId="3B1EE1C8">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的违约责任</w:t>
      </w:r>
    </w:p>
    <w:p w14:paraId="6ED7D3E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4.2.1</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违约金的计算及支付方法：</w:t>
      </w:r>
    </w:p>
    <w:p w14:paraId="0F3060D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逾期提交成果文件的，每逾期一天，按合同总价的</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计算违约金</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总限额不超过合同总价的10%</w:t>
      </w:r>
      <w:r>
        <w:rPr>
          <w:rFonts w:hint="eastAsia" w:ascii="宋体" w:hAnsi="宋体" w:eastAsia="宋体" w:cs="宋体"/>
          <w:color w:val="auto"/>
          <w:sz w:val="28"/>
          <w:szCs w:val="28"/>
          <w:highlight w:val="none"/>
        </w:rPr>
        <w:t>。超过规定时间</w:t>
      </w:r>
      <w:r>
        <w:rPr>
          <w:rFonts w:hint="eastAsia" w:ascii="宋体" w:hAnsi="宋体" w:eastAsia="宋体" w:cs="宋体"/>
          <w:color w:val="auto"/>
          <w:sz w:val="28"/>
          <w:szCs w:val="28"/>
          <w:highlight w:val="none"/>
          <w:lang w:val="en-US" w:eastAsia="zh-CN"/>
        </w:rPr>
        <w:t>3个工作</w:t>
      </w:r>
      <w:r>
        <w:rPr>
          <w:rFonts w:hint="eastAsia" w:ascii="宋体" w:hAnsi="宋体" w:eastAsia="宋体" w:cs="宋体"/>
          <w:color w:val="auto"/>
          <w:sz w:val="28"/>
          <w:szCs w:val="28"/>
          <w:highlight w:val="none"/>
        </w:rPr>
        <w:t>日以上的，</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有权解除合同。</w:t>
      </w:r>
    </w:p>
    <w:p w14:paraId="1CD5979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擅自更换咨询专业人员的，</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有权对</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处于</w:t>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t>000元/人/次的违约金；</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拒绝更换3.1.4约定的咨询专业人员的，</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有权解除合同，并有权不向</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支付酬金，不支付酬金的行为不构成违约。</w:t>
      </w:r>
    </w:p>
    <w:p w14:paraId="3605C8A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提交的成果文件不符合相关法律法规、技术规范及标准文件规定及本合同约定要求的，</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应无条件返工，返工两次以上仍未达到要求的，</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有权解除合同，并有权不向</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支付酬金，不支付酬金的行为不构成违约。</w:t>
      </w:r>
    </w:p>
    <w:p w14:paraId="486CE6E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（4）因</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原因给</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造成损失的，</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应承担损失赔偿责任。</w:t>
      </w:r>
    </w:p>
    <w:p w14:paraId="589C1AE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lang w:val="en-US" w:eastAsia="zh-CN"/>
        </w:rPr>
        <w:t>因乙方原因造成</w:t>
      </w:r>
      <w:r>
        <w:rPr>
          <w:rFonts w:hint="eastAsia" w:ascii="宋体" w:hAnsi="宋体" w:eastAsia="宋体" w:cs="宋体"/>
          <w:color w:val="auto"/>
          <w:sz w:val="28"/>
          <w:szCs w:val="28"/>
          <w:highlight w:val="none"/>
          <w:lang w:eastAsia="zh-CN"/>
        </w:rPr>
        <w:t>审核审定价（乙方与施工单位双方盖章认可的预算成果文件）与</w:t>
      </w:r>
      <w:r>
        <w:rPr>
          <w:rFonts w:hint="eastAsia" w:ascii="宋体" w:hAnsi="宋体" w:cs="宋体"/>
          <w:color w:val="auto"/>
          <w:sz w:val="28"/>
          <w:szCs w:val="28"/>
          <w:highlight w:val="none"/>
          <w:lang w:val="en-US" w:eastAsia="zh-CN"/>
        </w:rPr>
        <w:t>河池市</w:t>
      </w:r>
      <w:r>
        <w:rPr>
          <w:rFonts w:hint="eastAsia" w:ascii="宋体" w:hAnsi="宋体" w:eastAsia="宋体" w:cs="宋体"/>
          <w:color w:val="auto"/>
          <w:sz w:val="28"/>
          <w:szCs w:val="28"/>
          <w:highlight w:val="none"/>
          <w:lang w:eastAsia="zh-CN"/>
        </w:rPr>
        <w:t>审计局、财政评审中心或甲方复审的工程预算造价成果误差率(审核审定价与市审计局、财政评审中心或甲方复核确认的预算成果造价之差/审核审定价)</w:t>
      </w:r>
      <w:r>
        <w:rPr>
          <w:rFonts w:hint="eastAsia" w:ascii="宋体" w:hAnsi="宋体" w:eastAsia="宋体" w:cs="宋体"/>
          <w:color w:val="auto"/>
          <w:sz w:val="28"/>
          <w:szCs w:val="28"/>
          <w:highlight w:val="none"/>
        </w:rPr>
        <w:t>超过+</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%（含</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%）视为</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违约，</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须承担由此造成的全部经济损失和法律责任，</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有权拒绝支付该项目剩余的服务费，已经支付的部分，</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应退回给</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w:t>
      </w:r>
    </w:p>
    <w:p w14:paraId="6845779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不能将本合同项下的工作进行分包、转包，如发现</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有分包、转包现象，</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有权解除本合同并拒绝支付该项目的服务费，</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按合同总价的30%向</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支付违约金，由</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承担</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另行委托其他服务机构所产生的费用</w:t>
      </w:r>
      <w:r>
        <w:rPr>
          <w:rFonts w:hint="eastAsia" w:ascii="宋体" w:hAnsi="宋体" w:eastAsia="宋体" w:cs="宋体"/>
          <w:color w:val="auto"/>
          <w:sz w:val="28"/>
          <w:szCs w:val="28"/>
          <w:highlight w:val="none"/>
          <w:lang w:eastAsia="zh-CN"/>
        </w:rPr>
        <w:t>。</w:t>
      </w:r>
    </w:p>
    <w:p w14:paraId="24D9033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（7）因</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在审核完成后不提供详细计算式、审核报告等</w:t>
      </w:r>
      <w:r>
        <w:rPr>
          <w:rFonts w:hint="eastAsia" w:ascii="宋体" w:hAnsi="宋体" w:eastAsia="宋体" w:cs="宋体"/>
          <w:color w:val="auto"/>
          <w:sz w:val="28"/>
          <w:szCs w:val="28"/>
          <w:highlight w:val="none"/>
          <w:lang w:eastAsia="zh-CN"/>
        </w:rPr>
        <w:t>审核</w:t>
      </w:r>
      <w:r>
        <w:rPr>
          <w:rFonts w:hint="eastAsia" w:ascii="宋体" w:hAnsi="宋体" w:eastAsia="宋体" w:cs="宋体"/>
          <w:color w:val="auto"/>
          <w:sz w:val="28"/>
          <w:szCs w:val="28"/>
          <w:highlight w:val="none"/>
        </w:rPr>
        <w:t>成果文件，</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有权解除合同，</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按合同总价的30%向</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支付违约金。</w:t>
      </w:r>
    </w:p>
    <w:p w14:paraId="45BEB6C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8</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造价咨询</w:t>
      </w:r>
      <w:r>
        <w:rPr>
          <w:rFonts w:hint="eastAsia" w:ascii="宋体" w:hAnsi="宋体" w:eastAsia="宋体" w:cs="宋体"/>
          <w:color w:val="auto"/>
          <w:sz w:val="28"/>
          <w:szCs w:val="28"/>
          <w:highlight w:val="none"/>
        </w:rPr>
        <w:t>工作期间，</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接收材料或对接工作只能与</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指定的工作人员对接，不能与施工等项目参建单位私下沟通，若因</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私下沟通对</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造成损失的，由</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承担。</w:t>
      </w:r>
    </w:p>
    <w:p w14:paraId="630E6F3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4.2.2</w:t>
      </w:r>
      <w:r>
        <w:rPr>
          <w:rFonts w:hint="eastAsia" w:ascii="宋体" w:hAnsi="宋体" w:eastAsia="宋体" w:cs="宋体"/>
          <w:color w:val="auto"/>
          <w:kern w:val="0"/>
          <w:sz w:val="28"/>
          <w:szCs w:val="28"/>
          <w:highlight w:val="none"/>
        </w:rPr>
        <w:t>因</w:t>
      </w:r>
      <w:r>
        <w:rPr>
          <w:rFonts w:hint="eastAsia" w:ascii="宋体" w:hAnsi="宋体" w:eastAsia="宋体" w:cs="宋体"/>
          <w:color w:val="auto"/>
          <w:kern w:val="0"/>
          <w:sz w:val="28"/>
          <w:szCs w:val="28"/>
          <w:highlight w:val="none"/>
          <w:lang w:eastAsia="zh-CN"/>
        </w:rPr>
        <w:t>乙方</w:t>
      </w:r>
      <w:r>
        <w:rPr>
          <w:rFonts w:hint="eastAsia" w:ascii="宋体" w:hAnsi="宋体" w:eastAsia="宋体" w:cs="宋体"/>
          <w:color w:val="auto"/>
          <w:kern w:val="0"/>
          <w:sz w:val="28"/>
          <w:szCs w:val="28"/>
          <w:highlight w:val="none"/>
        </w:rPr>
        <w:t>违约，</w:t>
      </w:r>
      <w:r>
        <w:rPr>
          <w:rFonts w:hint="eastAsia" w:ascii="宋体" w:hAnsi="宋体" w:eastAsia="宋体" w:cs="宋体"/>
          <w:color w:val="auto"/>
          <w:kern w:val="0"/>
          <w:sz w:val="28"/>
          <w:szCs w:val="28"/>
          <w:highlight w:val="none"/>
          <w:lang w:eastAsia="zh-CN"/>
        </w:rPr>
        <w:t>乙方</w:t>
      </w:r>
      <w:r>
        <w:rPr>
          <w:rFonts w:hint="eastAsia" w:ascii="宋体" w:hAnsi="宋体" w:eastAsia="宋体" w:cs="宋体"/>
          <w:color w:val="auto"/>
          <w:kern w:val="0"/>
          <w:sz w:val="28"/>
          <w:szCs w:val="28"/>
          <w:highlight w:val="none"/>
        </w:rPr>
        <w:t>赔偿范围按下列方法确定：实际损失、间接损失（包括但不限于聘请第三方完成本合同约定工作所产生的费用、诉讼费、鉴定费、保全费、因保全产生的保全费及律师费等）</w:t>
      </w:r>
      <w:r>
        <w:rPr>
          <w:rFonts w:hint="eastAsia" w:ascii="宋体" w:hAnsi="宋体" w:eastAsia="宋体" w:cs="宋体"/>
          <w:color w:val="auto"/>
          <w:sz w:val="28"/>
          <w:szCs w:val="28"/>
          <w:highlight w:val="none"/>
        </w:rPr>
        <w:t>。</w:t>
      </w:r>
    </w:p>
    <w:p w14:paraId="02CAE1F8">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5.服务费的预算与支付方式</w:t>
      </w:r>
    </w:p>
    <w:p w14:paraId="0E951AD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1.咨询费支付：</w:t>
      </w:r>
      <w:r>
        <w:rPr>
          <w:rFonts w:hint="eastAsia" w:ascii="宋体" w:hAnsi="宋体" w:eastAsia="宋体" w:cs="宋体"/>
          <w:color w:val="auto"/>
          <w:spacing w:val="-6"/>
          <w:sz w:val="28"/>
          <w:szCs w:val="28"/>
          <w:highlight w:val="none"/>
        </w:rPr>
        <w:t>双方签订合同生效后，当工程项目竣工验收通过后，</w:t>
      </w:r>
      <w:r>
        <w:rPr>
          <w:rFonts w:hint="eastAsia" w:ascii="宋体" w:hAnsi="宋体" w:eastAsia="宋体" w:cs="宋体"/>
          <w:color w:val="auto"/>
          <w:spacing w:val="-2"/>
          <w:sz w:val="28"/>
          <w:szCs w:val="28"/>
          <w:highlight w:val="none"/>
          <w:lang w:eastAsia="zh-CN"/>
        </w:rPr>
        <w:t>乙方</w:t>
      </w:r>
      <w:r>
        <w:rPr>
          <w:rFonts w:hint="eastAsia" w:ascii="宋体" w:hAnsi="宋体" w:eastAsia="宋体" w:cs="宋体"/>
          <w:color w:val="auto"/>
          <w:spacing w:val="-6"/>
          <w:sz w:val="28"/>
          <w:szCs w:val="28"/>
          <w:highlight w:val="none"/>
        </w:rPr>
        <w:t>同时已完成相关咨询工作时，可申请支付</w:t>
      </w:r>
      <w:r>
        <w:rPr>
          <w:rFonts w:hint="eastAsia" w:ascii="宋体" w:hAnsi="宋体" w:eastAsia="宋体" w:cs="宋体"/>
          <w:color w:val="auto"/>
          <w:spacing w:val="-6"/>
          <w:sz w:val="28"/>
          <w:szCs w:val="28"/>
          <w:highlight w:val="none"/>
          <w:lang w:val="en-US" w:eastAsia="zh-CN"/>
        </w:rPr>
        <w:t>8</w:t>
      </w:r>
      <w:r>
        <w:rPr>
          <w:rFonts w:hint="eastAsia" w:ascii="宋体" w:hAnsi="宋体" w:eastAsia="宋体" w:cs="宋体"/>
          <w:color w:val="auto"/>
          <w:spacing w:val="-6"/>
          <w:sz w:val="28"/>
          <w:szCs w:val="28"/>
          <w:highlight w:val="none"/>
        </w:rPr>
        <w:t>0%的合同费用；</w:t>
      </w:r>
      <w:r>
        <w:rPr>
          <w:rFonts w:hint="eastAsia" w:ascii="宋体" w:hAnsi="宋体" w:eastAsia="宋体" w:cs="宋体"/>
          <w:color w:val="auto"/>
          <w:spacing w:val="-6"/>
          <w:sz w:val="28"/>
          <w:szCs w:val="28"/>
          <w:highlight w:val="none"/>
          <w:lang w:eastAsia="zh-CN"/>
        </w:rPr>
        <w:t>工程</w:t>
      </w:r>
      <w:r>
        <w:rPr>
          <w:rFonts w:hint="eastAsia" w:ascii="宋体" w:hAnsi="宋体" w:eastAsia="宋体" w:cs="宋体"/>
          <w:color w:val="auto"/>
          <w:sz w:val="28"/>
          <w:szCs w:val="28"/>
          <w:highlight w:val="none"/>
          <w:lang w:val="en-US" w:eastAsia="zh-CN"/>
        </w:rPr>
        <w:t>竣工结算审核</w:t>
      </w:r>
      <w:r>
        <w:rPr>
          <w:rFonts w:hint="eastAsia" w:ascii="宋体" w:hAnsi="宋体" w:eastAsia="宋体" w:cs="宋体"/>
          <w:color w:val="auto"/>
          <w:sz w:val="28"/>
          <w:szCs w:val="28"/>
          <w:highlight w:val="none"/>
        </w:rPr>
        <w:t>完成，并通过</w:t>
      </w:r>
      <w:r>
        <w:rPr>
          <w:rFonts w:hint="eastAsia" w:ascii="宋体" w:hAnsi="宋体" w:cs="宋体"/>
          <w:color w:val="auto"/>
          <w:sz w:val="28"/>
          <w:szCs w:val="28"/>
          <w:highlight w:val="none"/>
          <w:lang w:val="en-US" w:eastAsia="zh-CN"/>
        </w:rPr>
        <w:t>市审计局、</w:t>
      </w:r>
      <w:r>
        <w:rPr>
          <w:rFonts w:hint="eastAsia" w:ascii="宋体" w:hAnsi="宋体" w:eastAsia="宋体" w:cs="宋体"/>
          <w:color w:val="auto"/>
          <w:sz w:val="28"/>
          <w:szCs w:val="28"/>
          <w:highlight w:val="none"/>
          <w:lang w:eastAsia="zh-CN"/>
        </w:rPr>
        <w:t>财政评审中心或甲方</w:t>
      </w:r>
      <w:r>
        <w:rPr>
          <w:rFonts w:hint="eastAsia" w:ascii="宋体" w:hAnsi="宋体" w:eastAsia="宋体" w:cs="宋体"/>
          <w:color w:val="auto"/>
          <w:sz w:val="28"/>
          <w:szCs w:val="28"/>
          <w:highlight w:val="none"/>
        </w:rPr>
        <w:t>认可后，</w:t>
      </w:r>
      <w:r>
        <w:rPr>
          <w:rFonts w:hint="eastAsia" w:ascii="宋体" w:hAnsi="宋体" w:eastAsia="宋体" w:cs="宋体"/>
          <w:color w:val="auto"/>
          <w:spacing w:val="-6"/>
          <w:sz w:val="28"/>
          <w:szCs w:val="28"/>
          <w:highlight w:val="none"/>
        </w:rPr>
        <w:t>可申请支付</w:t>
      </w:r>
      <w:r>
        <w:rPr>
          <w:rFonts w:hint="eastAsia" w:ascii="宋体" w:hAnsi="宋体" w:eastAsia="宋体" w:cs="宋体"/>
          <w:color w:val="auto"/>
          <w:spacing w:val="-6"/>
          <w:sz w:val="28"/>
          <w:szCs w:val="28"/>
          <w:highlight w:val="none"/>
          <w:lang w:val="en-US" w:eastAsia="zh-CN"/>
        </w:rPr>
        <w:t>2</w:t>
      </w:r>
      <w:r>
        <w:rPr>
          <w:rFonts w:hint="eastAsia" w:ascii="宋体" w:hAnsi="宋体" w:eastAsia="宋体" w:cs="宋体"/>
          <w:color w:val="auto"/>
          <w:spacing w:val="-6"/>
          <w:sz w:val="28"/>
          <w:szCs w:val="28"/>
          <w:highlight w:val="none"/>
        </w:rPr>
        <w:t>0%的合同费用</w:t>
      </w:r>
      <w:r>
        <w:rPr>
          <w:rFonts w:hint="eastAsia" w:ascii="宋体" w:hAnsi="宋体" w:eastAsia="宋体" w:cs="宋体"/>
          <w:color w:val="auto"/>
          <w:sz w:val="28"/>
          <w:szCs w:val="28"/>
          <w:highlight w:val="none"/>
        </w:rPr>
        <w:t>。款项支付前，</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应按照</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的要求提供建设项目资金支出审批表、请款函、合同协议书</w:t>
      </w:r>
      <w:r>
        <w:rPr>
          <w:rFonts w:hint="eastAsia" w:ascii="宋体" w:hAnsi="宋体" w:eastAsia="宋体" w:cs="宋体"/>
          <w:color w:val="auto"/>
          <w:sz w:val="28"/>
          <w:szCs w:val="28"/>
          <w:highlight w:val="none"/>
          <w:lang w:eastAsia="zh-CN"/>
        </w:rPr>
        <w:t>等</w:t>
      </w:r>
      <w:r>
        <w:rPr>
          <w:rFonts w:hint="eastAsia" w:ascii="宋体" w:hAnsi="宋体" w:eastAsia="宋体" w:cs="宋体"/>
          <w:color w:val="auto"/>
          <w:sz w:val="28"/>
          <w:szCs w:val="28"/>
          <w:highlight w:val="none"/>
        </w:rPr>
        <w:t>合格的支付申请材料</w:t>
      </w:r>
      <w:r>
        <w:rPr>
          <w:rFonts w:hint="eastAsia" w:ascii="宋体" w:hAnsi="宋体" w:eastAsia="宋体" w:cs="宋体"/>
          <w:color w:val="auto"/>
          <w:sz w:val="28"/>
          <w:szCs w:val="28"/>
          <w:highlight w:val="none"/>
        </w:rPr>
        <w:t>及有效等额增值税专用发票（注：小规模纳税人税率为3%，一般纳税人税率为6%），否则</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 xml:space="preserve">有权拒绝支付。  </w:t>
      </w:r>
    </w:p>
    <w:p w14:paraId="21EE651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2.合同履行期间，如成交</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存在违法行为，在监督管理部门调查期间、被行政处罚期间，</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可视情况终止合同。涉及到所承接项目的咨询服务费，</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可延期或拒绝支付服务费。</w:t>
      </w:r>
    </w:p>
    <w:p w14:paraId="2DE6A2A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3.所有费用由</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转账至</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lang w:val="en-US" w:eastAsia="zh-CN"/>
        </w:rPr>
        <w:t>对公</w:t>
      </w:r>
      <w:r>
        <w:rPr>
          <w:rFonts w:hint="eastAsia" w:ascii="宋体" w:hAnsi="宋体" w:eastAsia="宋体" w:cs="宋体"/>
          <w:color w:val="auto"/>
          <w:sz w:val="28"/>
          <w:szCs w:val="28"/>
          <w:highlight w:val="none"/>
        </w:rPr>
        <w:t>账户。</w:t>
      </w:r>
    </w:p>
    <w:p w14:paraId="07628842">
      <w:pPr>
        <w:keepNext w:val="0"/>
        <w:keepLines w:val="0"/>
        <w:pageBreakBefore w:val="0"/>
        <w:wordWrap/>
        <w:topLinePunct w:val="0"/>
        <w:autoSpaceDE/>
        <w:autoSpaceDN/>
        <w:bidi w:val="0"/>
        <w:adjustRightInd/>
        <w:spacing w:line="520" w:lineRule="exact"/>
        <w:ind w:firstLine="560" w:firstLineChars="200"/>
        <w:textAlignment w:val="auto"/>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rPr>
        <w:t>开户名称：</w:t>
      </w:r>
      <w:r>
        <w:rPr>
          <w:rFonts w:hint="eastAsia" w:ascii="宋体" w:hAnsi="宋体" w:eastAsia="宋体" w:cs="宋体"/>
          <w:color w:val="auto"/>
          <w:sz w:val="28"/>
          <w:szCs w:val="28"/>
          <w:highlight w:val="none"/>
          <w:u w:val="single"/>
          <w:lang w:val="en-US" w:eastAsia="zh-CN"/>
        </w:rPr>
        <w:t xml:space="preserve">                                </w:t>
      </w:r>
    </w:p>
    <w:p w14:paraId="7F1378E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4603CA8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r>
        <w:rPr>
          <w:rFonts w:hint="eastAsia" w:ascii="宋体" w:hAnsi="宋体" w:eastAsia="宋体" w:cs="宋体"/>
          <w:color w:val="auto"/>
          <w:sz w:val="28"/>
          <w:szCs w:val="28"/>
          <w:highlight w:val="none"/>
          <w:u w:val="single"/>
          <w:lang w:val="en-US" w:eastAsia="zh-CN"/>
        </w:rPr>
        <w:t xml:space="preserve">                                </w:t>
      </w:r>
    </w:p>
    <w:p w14:paraId="13469D71">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6.合同变更、解除与终止</w:t>
      </w:r>
    </w:p>
    <w:p w14:paraId="4541C09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6.1合同变更</w:t>
      </w:r>
    </w:p>
    <w:p w14:paraId="13B6330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6.1.2除不可抗力外，因非</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原因导致本合同履行期限延长、内容增加时，附加工作酬金按下列方法确定：</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18576D2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6.2合同解除</w:t>
      </w:r>
    </w:p>
    <w:p w14:paraId="4310857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6.2.2双方约定解除合同的条件还包括：</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103C08B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6.2.4因不可抗力导致的合同解除，双方约定损失的分担如下：</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7B033F6F">
      <w:pPr>
        <w:keepNext w:val="0"/>
        <w:keepLines w:val="0"/>
        <w:pageBreakBefore w:val="0"/>
        <w:wordWrap/>
        <w:topLinePunct w:val="0"/>
        <w:autoSpaceDE/>
        <w:autoSpaceDN/>
        <w:bidi w:val="0"/>
        <w:adjustRightInd/>
        <w:spacing w:line="520" w:lineRule="exact"/>
        <w:textAlignment w:val="auto"/>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7.争议解决</w:t>
      </w:r>
    </w:p>
    <w:p w14:paraId="2365DB5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7.2调解</w:t>
      </w:r>
    </w:p>
    <w:p w14:paraId="196D8554">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如果双方不能在</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日内解决本合同争议，可以将其提交</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进行调解。</w:t>
      </w:r>
    </w:p>
    <w:p w14:paraId="1C7BBC33">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7.3仲裁或诉讼</w:t>
      </w:r>
    </w:p>
    <w:p w14:paraId="7041F10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合同争议的最终解决方式为下列第</w:t>
      </w:r>
      <w:r>
        <w:rPr>
          <w:rFonts w:hint="eastAsia" w:ascii="宋体" w:hAnsi="宋体" w:eastAsia="宋体" w:cs="宋体"/>
          <w:color w:val="auto"/>
          <w:sz w:val="28"/>
          <w:szCs w:val="28"/>
          <w:highlight w:val="none"/>
          <w:u w:val="single"/>
        </w:rPr>
        <w:t xml:space="preserve">   （2）   </w:t>
      </w:r>
      <w:r>
        <w:rPr>
          <w:rFonts w:hint="eastAsia" w:ascii="宋体" w:hAnsi="宋体" w:eastAsia="宋体" w:cs="宋体"/>
          <w:color w:val="auto"/>
          <w:sz w:val="28"/>
          <w:szCs w:val="28"/>
          <w:highlight w:val="none"/>
        </w:rPr>
        <w:t>种方式：</w:t>
      </w:r>
    </w:p>
    <w:p w14:paraId="0CCC525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（1）提请 </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仲裁委员会进行仲裁。</w:t>
      </w:r>
    </w:p>
    <w:p w14:paraId="3F79589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（2）向</w:t>
      </w:r>
      <w:r>
        <w:rPr>
          <w:rFonts w:hint="eastAsia" w:ascii="宋体" w:hAnsi="宋体" w:eastAsia="宋体" w:cs="宋体"/>
          <w:color w:val="auto"/>
          <w:sz w:val="28"/>
          <w:szCs w:val="28"/>
          <w:highlight w:val="none"/>
          <w:u w:val="single"/>
        </w:rPr>
        <w:t>项目所在地</w:t>
      </w:r>
      <w:r>
        <w:rPr>
          <w:rFonts w:hint="eastAsia" w:ascii="宋体" w:hAnsi="宋体" w:eastAsia="宋体" w:cs="宋体"/>
          <w:color w:val="auto"/>
          <w:sz w:val="28"/>
          <w:szCs w:val="28"/>
          <w:highlight w:val="none"/>
        </w:rPr>
        <w:t>人民法院提起诉讼。</w:t>
      </w:r>
    </w:p>
    <w:p w14:paraId="3EBCC710">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8.其他</w:t>
      </w:r>
    </w:p>
    <w:p w14:paraId="2738D7E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8.1 考察及相关费用：</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经</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同意进行考察发生的费用由</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rPr>
        <w:t>支付。差旅费及相关费用的支付：</w:t>
      </w:r>
      <w:bookmarkStart w:id="3" w:name="bookmark23"/>
      <w:bookmarkEnd w:id="3"/>
      <w:r>
        <w:rPr>
          <w:rFonts w:hint="eastAsia" w:ascii="宋体" w:hAnsi="宋体" w:eastAsia="宋体" w:cs="宋体"/>
          <w:color w:val="auto"/>
          <w:sz w:val="28"/>
          <w:szCs w:val="28"/>
          <w:highlight w:val="none"/>
          <w:u w:val="single"/>
        </w:rPr>
        <w:t>由</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u w:val="single"/>
        </w:rPr>
        <w:t>承担</w:t>
      </w:r>
      <w:r>
        <w:rPr>
          <w:rFonts w:hint="eastAsia" w:ascii="宋体" w:hAnsi="宋体" w:eastAsia="宋体" w:cs="宋体"/>
          <w:color w:val="auto"/>
          <w:sz w:val="28"/>
          <w:szCs w:val="28"/>
          <w:highlight w:val="none"/>
        </w:rPr>
        <w:t>。</w:t>
      </w:r>
    </w:p>
    <w:p w14:paraId="6E73F69D">
      <w:pPr>
        <w:pStyle w:val="5"/>
        <w:keepNext w:val="0"/>
        <w:keepLines w:val="0"/>
        <w:pageBreakBefore w:val="0"/>
        <w:tabs>
          <w:tab w:val="left" w:pos="8039"/>
        </w:tabs>
        <w:kinsoku w:val="0"/>
        <w:wordWrap/>
        <w:overflowPunct w:val="0"/>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8.2</w:t>
      </w:r>
      <w:r>
        <w:rPr>
          <w:rFonts w:hint="eastAsia" w:ascii="宋体" w:hAnsi="宋体" w:eastAsia="宋体" w:cs="宋体"/>
          <w:color w:val="auto"/>
          <w:spacing w:val="-60"/>
          <w:sz w:val="28"/>
          <w:szCs w:val="28"/>
          <w:highlight w:val="none"/>
        </w:rPr>
        <w:t xml:space="preserve"> </w:t>
      </w:r>
      <w:r>
        <w:rPr>
          <w:rFonts w:hint="eastAsia" w:ascii="宋体" w:hAnsi="宋体" w:eastAsia="宋体" w:cs="宋体"/>
          <w:color w:val="auto"/>
          <w:sz w:val="28"/>
          <w:szCs w:val="28"/>
          <w:highlight w:val="none"/>
        </w:rPr>
        <w:t>联络</w:t>
      </w:r>
    </w:p>
    <w:p w14:paraId="5262723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8.2.1 任何一方与合同有关的通知、指示、要求、决定等，均应在 </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日内送达对方指定的接收人和送达地点。</w:t>
      </w:r>
    </w:p>
    <w:p w14:paraId="5349563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8.2.2 </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指定的送达接收人：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送达地点：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，电话：</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指定的送达接收人：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，送达地点：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，电话：</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731B00F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8.5知识产权</w:t>
      </w:r>
    </w:p>
    <w:p w14:paraId="4CAC04F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提供给</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的图纸、</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为实施工程自行编制或委托编制的技术规范以及反映</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要求的或其他类似性质文件的著作权属于</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rPr>
        <w:t xml:space="preserve">。 </w:t>
      </w:r>
    </w:p>
    <w:p w14:paraId="67AFF5B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为履行本合同约定而编制的成果文件，其著作权属于</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5F0B8BCF">
      <w:pPr>
        <w:keepNext w:val="0"/>
        <w:keepLines w:val="0"/>
        <w:pageBreakBefore w:val="0"/>
        <w:widowControl w:val="0"/>
        <w:wordWrap/>
        <w:topLinePunct w:val="0"/>
        <w:autoSpaceDE/>
        <w:autoSpaceDN/>
        <w:bidi w:val="0"/>
        <w:adjustRightInd/>
        <w:spacing w:line="520" w:lineRule="exact"/>
        <w:ind w:lef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双方将履行本合同形成的有关成果文件用于企业宣传、申报奖项以及接受上级主管部门的检查须遵守以下约定：</w:t>
      </w:r>
      <w:r>
        <w:rPr>
          <w:rFonts w:hint="eastAsia" w:ascii="宋体" w:hAnsi="宋体" w:eastAsia="宋体" w:cs="宋体"/>
          <w:color w:val="auto"/>
          <w:sz w:val="28"/>
          <w:szCs w:val="28"/>
          <w:highlight w:val="none"/>
          <w:u w:val="single"/>
          <w:lang w:eastAsia="zh-CN"/>
        </w:rPr>
        <w:t>乙方</w:t>
      </w:r>
      <w:r>
        <w:rPr>
          <w:rFonts w:hint="eastAsia" w:ascii="宋体" w:hAnsi="宋体" w:eastAsia="宋体" w:cs="宋体"/>
          <w:color w:val="auto"/>
          <w:sz w:val="28"/>
          <w:szCs w:val="28"/>
          <w:highlight w:val="none"/>
          <w:u w:val="single"/>
        </w:rPr>
        <w:t>将履行本合同形成的有关成果文件用于企业宣传、申报奖项以接受上级主管部门的检查应经过</w:t>
      </w:r>
      <w:r>
        <w:rPr>
          <w:rFonts w:hint="eastAsia" w:ascii="宋体" w:hAnsi="宋体" w:eastAsia="宋体" w:cs="宋体"/>
          <w:color w:val="auto"/>
          <w:sz w:val="28"/>
          <w:szCs w:val="28"/>
          <w:highlight w:val="none"/>
          <w:u w:val="single"/>
          <w:lang w:eastAsia="zh-CN"/>
        </w:rPr>
        <w:t>甲方</w:t>
      </w:r>
      <w:r>
        <w:rPr>
          <w:rFonts w:hint="eastAsia" w:ascii="宋体" w:hAnsi="宋体" w:eastAsia="宋体" w:cs="宋体"/>
          <w:color w:val="auto"/>
          <w:sz w:val="28"/>
          <w:szCs w:val="28"/>
          <w:highlight w:val="none"/>
          <w:u w:val="single"/>
        </w:rPr>
        <w:t>同意</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ab/>
      </w:r>
    </w:p>
    <w:p w14:paraId="37B13836">
      <w:pPr>
        <w:keepNext w:val="0"/>
        <w:keepLines w:val="0"/>
        <w:pageBreakBefore w:val="0"/>
        <w:widowControl w:val="0"/>
        <w:wordWrap/>
        <w:topLinePunct w:val="0"/>
        <w:autoSpaceDE/>
        <w:autoSpaceDN/>
        <w:bidi w:val="0"/>
        <w:adjustRightInd/>
        <w:spacing w:line="520" w:lineRule="exact"/>
        <w:ind w:left="0" w:firstLine="560" w:firstLineChars="200"/>
        <w:jc w:val="both"/>
        <w:textAlignment w:val="auto"/>
        <w:rPr>
          <w:rFonts w:hint="eastAsia" w:ascii="宋体" w:hAnsi="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 </w:t>
      </w:r>
      <w:r>
        <w:rPr>
          <w:rFonts w:hint="eastAsia" w:ascii="宋体" w:hAnsi="宋体" w:cs="宋体"/>
          <w:color w:val="auto"/>
          <w:sz w:val="28"/>
          <w:szCs w:val="28"/>
          <w:highlight w:val="none"/>
          <w:lang w:val="en-US" w:eastAsia="zh-CN"/>
        </w:rPr>
        <w:t>8.6保密</w:t>
      </w:r>
    </w:p>
    <w:p w14:paraId="25AA8975">
      <w:pPr>
        <w:keepNext w:val="0"/>
        <w:keepLines w:val="0"/>
        <w:pageBreakBefore w:val="0"/>
        <w:wordWrap/>
        <w:topLinePunct w:val="0"/>
        <w:autoSpaceDE/>
        <w:autoSpaceDN/>
        <w:bidi w:val="0"/>
        <w:adjustRightInd/>
        <w:spacing w:line="520" w:lineRule="exact"/>
        <w:ind w:firstLine="560" w:firstLineChars="200"/>
        <w:textAlignment w:val="auto"/>
        <w:rPr>
          <w:rFonts w:hint="default"/>
          <w:color w:val="auto"/>
          <w:sz w:val="28"/>
          <w:szCs w:val="28"/>
          <w:highlight w:val="none"/>
          <w:lang w:val="en-US"/>
        </w:rPr>
      </w:pPr>
      <w:r>
        <w:rPr>
          <w:rFonts w:hint="default"/>
          <w:color w:val="auto"/>
          <w:sz w:val="28"/>
          <w:szCs w:val="28"/>
          <w:highlight w:val="none"/>
          <w:lang w:val="en-US"/>
        </w:rPr>
        <w:t>除法律规定或合同另有约定外，未经</w:t>
      </w:r>
      <w:r>
        <w:rPr>
          <w:rFonts w:hint="eastAsia"/>
          <w:color w:val="auto"/>
          <w:sz w:val="28"/>
          <w:szCs w:val="28"/>
          <w:highlight w:val="none"/>
          <w:lang w:val="en-US" w:eastAsia="zh-CN"/>
        </w:rPr>
        <w:t>甲方</w:t>
      </w:r>
      <w:r>
        <w:rPr>
          <w:rFonts w:hint="default"/>
          <w:color w:val="auto"/>
          <w:sz w:val="28"/>
          <w:szCs w:val="28"/>
          <w:highlight w:val="none"/>
          <w:lang w:val="en-US"/>
        </w:rPr>
        <w:t>同意，</w:t>
      </w:r>
      <w:r>
        <w:rPr>
          <w:rFonts w:hint="eastAsia"/>
          <w:color w:val="auto"/>
          <w:sz w:val="28"/>
          <w:szCs w:val="28"/>
          <w:highlight w:val="none"/>
          <w:lang w:val="en-US" w:eastAsia="zh-CN"/>
        </w:rPr>
        <w:t>乙方</w:t>
      </w:r>
      <w:r>
        <w:rPr>
          <w:rFonts w:hint="default"/>
          <w:color w:val="auto"/>
          <w:sz w:val="28"/>
          <w:szCs w:val="28"/>
          <w:highlight w:val="none"/>
          <w:lang w:val="en-US"/>
        </w:rPr>
        <w:t>不得将</w:t>
      </w:r>
      <w:r>
        <w:rPr>
          <w:rFonts w:hint="eastAsia"/>
          <w:color w:val="auto"/>
          <w:sz w:val="28"/>
          <w:szCs w:val="28"/>
          <w:highlight w:val="none"/>
          <w:lang w:val="en-US" w:eastAsia="zh-CN"/>
        </w:rPr>
        <w:t>甲方</w:t>
      </w:r>
      <w:r>
        <w:rPr>
          <w:rFonts w:hint="default"/>
          <w:color w:val="auto"/>
          <w:sz w:val="28"/>
          <w:szCs w:val="28"/>
          <w:highlight w:val="none"/>
          <w:lang w:val="en-US"/>
        </w:rPr>
        <w:t>提供的图纸、文件以及声明需要保密的资料信息等商业秘密泄露给第三方。</w:t>
      </w:r>
    </w:p>
    <w:p w14:paraId="165858D7">
      <w:pPr>
        <w:keepNext w:val="0"/>
        <w:keepLines w:val="0"/>
        <w:pageBreakBefore w:val="0"/>
        <w:wordWrap/>
        <w:topLinePunct w:val="0"/>
        <w:autoSpaceDE/>
        <w:autoSpaceDN/>
        <w:bidi w:val="0"/>
        <w:adjustRightInd/>
        <w:spacing w:line="520" w:lineRule="exact"/>
        <w:ind w:firstLine="560" w:firstLineChars="200"/>
        <w:textAlignment w:val="auto"/>
        <w:rPr>
          <w:rFonts w:hint="default"/>
          <w:color w:val="auto"/>
          <w:sz w:val="28"/>
          <w:szCs w:val="28"/>
          <w:highlight w:val="none"/>
          <w:lang w:val="en-US"/>
        </w:rPr>
      </w:pPr>
      <w:r>
        <w:rPr>
          <w:rFonts w:hint="default"/>
          <w:color w:val="auto"/>
          <w:sz w:val="28"/>
          <w:szCs w:val="28"/>
          <w:highlight w:val="none"/>
          <w:lang w:val="en-US"/>
        </w:rPr>
        <w:t>除法律规定或合同另有约定外，未经</w:t>
      </w:r>
      <w:r>
        <w:rPr>
          <w:rFonts w:hint="eastAsia"/>
          <w:color w:val="auto"/>
          <w:sz w:val="28"/>
          <w:szCs w:val="28"/>
          <w:highlight w:val="none"/>
          <w:lang w:val="en-US" w:eastAsia="zh-CN"/>
        </w:rPr>
        <w:t>乙方</w:t>
      </w:r>
      <w:r>
        <w:rPr>
          <w:rFonts w:hint="default"/>
          <w:color w:val="auto"/>
          <w:sz w:val="28"/>
          <w:szCs w:val="28"/>
          <w:highlight w:val="none"/>
          <w:lang w:val="en-US"/>
        </w:rPr>
        <w:t>同意，</w:t>
      </w:r>
      <w:r>
        <w:rPr>
          <w:rFonts w:hint="eastAsia"/>
          <w:color w:val="auto"/>
          <w:sz w:val="28"/>
          <w:szCs w:val="28"/>
          <w:highlight w:val="none"/>
          <w:lang w:val="en-US" w:eastAsia="zh-CN"/>
        </w:rPr>
        <w:t>甲方</w:t>
      </w:r>
      <w:r>
        <w:rPr>
          <w:rFonts w:hint="default"/>
          <w:color w:val="auto"/>
          <w:sz w:val="28"/>
          <w:szCs w:val="28"/>
          <w:highlight w:val="none"/>
          <w:lang w:val="en-US"/>
        </w:rPr>
        <w:t>不得将</w:t>
      </w:r>
      <w:r>
        <w:rPr>
          <w:rFonts w:hint="eastAsia"/>
          <w:color w:val="auto"/>
          <w:sz w:val="28"/>
          <w:szCs w:val="28"/>
          <w:highlight w:val="none"/>
          <w:lang w:val="en-US" w:eastAsia="zh-CN"/>
        </w:rPr>
        <w:t>乙方</w:t>
      </w:r>
      <w:r>
        <w:rPr>
          <w:rFonts w:hint="default"/>
          <w:color w:val="auto"/>
          <w:sz w:val="28"/>
          <w:szCs w:val="28"/>
          <w:highlight w:val="none"/>
          <w:lang w:val="en-US"/>
        </w:rPr>
        <w:t>提供的技术文件、技术成果、技术秘密及声明需要保密的资料信息等商业秘密泄露给第三方。</w:t>
      </w:r>
    </w:p>
    <w:p w14:paraId="764F36C0">
      <w:pPr>
        <w:keepNext w:val="0"/>
        <w:keepLines w:val="0"/>
        <w:pageBreakBefore w:val="0"/>
        <w:wordWrap/>
        <w:topLinePunct w:val="0"/>
        <w:autoSpaceDE/>
        <w:autoSpaceDN/>
        <w:bidi w:val="0"/>
        <w:adjustRightInd/>
        <w:spacing w:line="520" w:lineRule="exact"/>
        <w:ind w:firstLine="560" w:firstLineChars="200"/>
        <w:textAlignment w:val="auto"/>
        <w:rPr>
          <w:rFonts w:hint="eastAsia"/>
          <w:color w:val="auto"/>
          <w:sz w:val="28"/>
          <w:szCs w:val="28"/>
          <w:highlight w:val="none"/>
          <w:lang w:val="en-US" w:eastAsia="zh-CN"/>
        </w:rPr>
      </w:pPr>
      <w:r>
        <w:rPr>
          <w:rFonts w:hint="eastAsia"/>
          <w:color w:val="auto"/>
          <w:sz w:val="28"/>
          <w:szCs w:val="28"/>
          <w:highlight w:val="none"/>
          <w:lang w:val="en-US" w:eastAsia="zh-CN"/>
        </w:rPr>
        <w:t>如发生以上情况，泄密方承担一切由此引起的后果并承担赔偿责任，赔偿标准为对方实际损失的两倍。</w:t>
      </w:r>
    </w:p>
    <w:p w14:paraId="4F69B82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color w:val="auto"/>
          <w:sz w:val="28"/>
          <w:szCs w:val="28"/>
          <w:highlight w:val="none"/>
          <w:lang w:val="en-US" w:eastAsia="zh-CN"/>
        </w:rPr>
        <w:t>保密期限为合同终止后5年内。</w:t>
      </w:r>
    </w:p>
    <w:p w14:paraId="4B23A2C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9.补充条款</w:t>
      </w:r>
    </w:p>
    <w:p w14:paraId="334CC0A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 xml:space="preserve"> 。</w:t>
      </w:r>
    </w:p>
    <w:p w14:paraId="35A4AC6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p>
    <w:p w14:paraId="3D09EEA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p>
    <w:p w14:paraId="610708F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p>
    <w:p w14:paraId="64ABAAE7">
      <w:pPr>
        <w:pStyle w:val="3"/>
        <w:jc w:val="center"/>
        <w:outlineLvl w:val="0"/>
        <w:rPr>
          <w:rFonts w:hint="eastAsia" w:ascii="华文中宋" w:hAnsi="华文中宋" w:eastAsia="华文中宋" w:cs="Times New Roman"/>
          <w:color w:val="auto"/>
          <w:sz w:val="44"/>
          <w:szCs w:val="44"/>
          <w:highlight w:val="none"/>
        </w:rPr>
      </w:pPr>
      <w:r>
        <w:rPr>
          <w:rFonts w:ascii="华文中宋" w:hAnsi="华文中宋" w:eastAsia="华文中宋"/>
          <w:color w:val="auto"/>
          <w:sz w:val="44"/>
          <w:szCs w:val="44"/>
          <w:highlight w:val="none"/>
        </w:rPr>
        <w:t>第</w:t>
      </w:r>
      <w:r>
        <w:rPr>
          <w:rFonts w:hint="eastAsia" w:ascii="华文中宋" w:hAnsi="华文中宋" w:eastAsia="华文中宋"/>
          <w:color w:val="auto"/>
          <w:sz w:val="44"/>
          <w:szCs w:val="44"/>
          <w:highlight w:val="none"/>
          <w:lang w:eastAsia="zh-CN"/>
        </w:rPr>
        <w:t>四</w:t>
      </w:r>
      <w:r>
        <w:rPr>
          <w:rFonts w:ascii="华文中宋" w:hAnsi="华文中宋" w:eastAsia="华文中宋"/>
          <w:color w:val="auto"/>
          <w:sz w:val="44"/>
          <w:szCs w:val="44"/>
          <w:highlight w:val="none"/>
        </w:rPr>
        <w:t xml:space="preserve">部分 </w:t>
      </w:r>
      <w:r>
        <w:rPr>
          <w:rFonts w:hint="eastAsia" w:ascii="华文中宋" w:hAnsi="华文中宋" w:eastAsia="华文中宋" w:cs="Times New Roman"/>
          <w:color w:val="auto"/>
          <w:sz w:val="44"/>
          <w:szCs w:val="44"/>
          <w:highlight w:val="none"/>
        </w:rPr>
        <w:t>廉政合同</w:t>
      </w:r>
    </w:p>
    <w:p w14:paraId="1477B045">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根据有关工程建设、廉政建设的规定，为做好工程建设中的党风廉政建设，保证工程建设高效优质，保证建设资金的安全和有效使用以及投资效益，河池市城乡建设投资集团有限公司（以下简称:</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）为一方与另一方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（以下称</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），特订立如下合同。</w:t>
      </w:r>
    </w:p>
    <w:p w14:paraId="1305784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1.双方的权利和义务</w:t>
      </w:r>
    </w:p>
    <w:p w14:paraId="5C352CC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（1）严格遵守党和国家有关法律法规及住房和城乡建设部的有关规定。</w:t>
      </w:r>
    </w:p>
    <w:p w14:paraId="17263ACA">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（2）严格执行</w:t>
      </w:r>
      <w:r>
        <w:rPr>
          <w:rFonts w:hint="eastAsia" w:ascii="宋体" w:hAnsi="宋体" w:eastAsia="宋体" w:cs="宋体"/>
          <w:color w:val="auto"/>
          <w:sz w:val="28"/>
          <w:szCs w:val="28"/>
          <w:highlight w:val="none"/>
          <w:lang w:eastAsia="zh-CN"/>
        </w:rPr>
        <w:t>河池市金城江城区排水防涝管网工程</w:t>
      </w:r>
      <w:r>
        <w:rPr>
          <w:rFonts w:hint="eastAsia" w:ascii="宋体" w:hAnsi="宋体" w:cs="宋体"/>
          <w:color w:val="auto"/>
          <w:sz w:val="28"/>
          <w:szCs w:val="28"/>
          <w:highlight w:val="none"/>
          <w:lang w:eastAsia="zh-CN"/>
        </w:rPr>
        <w:t>施工过程造价咨询</w:t>
      </w:r>
      <w:r>
        <w:rPr>
          <w:rFonts w:hint="eastAsia" w:ascii="宋体" w:hAnsi="宋体" w:eastAsia="宋体" w:cs="宋体"/>
          <w:color w:val="auto"/>
          <w:sz w:val="28"/>
          <w:szCs w:val="28"/>
          <w:highlight w:val="none"/>
          <w:lang w:eastAsia="zh-CN"/>
        </w:rPr>
        <w:t>合同</w:t>
      </w:r>
      <w:r>
        <w:rPr>
          <w:rFonts w:hint="eastAsia" w:ascii="宋体" w:hAnsi="宋体" w:eastAsia="宋体" w:cs="宋体"/>
          <w:color w:val="auto"/>
          <w:sz w:val="28"/>
          <w:szCs w:val="28"/>
          <w:highlight w:val="none"/>
        </w:rPr>
        <w:t>文件，自觉按合同办事。</w:t>
      </w:r>
    </w:p>
    <w:p w14:paraId="4F0B5C13">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（3）双方的业务活动坚持公开、公正、诚信、透明的原则（除法律认定的商业秘密和合同文件另有规定之外），不得损害国家和集体利益，违反工程建设管理规章制度。</w:t>
      </w:r>
    </w:p>
    <w:p w14:paraId="377307F3">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（4）建立健全廉政制度，开展廉政教育，设立廉政告示牌，公布举报电话，监督并认真查处违法违纪行为。</w:t>
      </w:r>
    </w:p>
    <w:p w14:paraId="596A923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（5）发现对方在业务活动中有违反廉政规定的行为，有及时提醒对方纠正的权利和义务。</w:t>
      </w:r>
    </w:p>
    <w:p w14:paraId="57D09591">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（6）发现对方严重违反本合同义务条款的行为，有向其上级有关部门举报、建议给予处理并要求告知处理结果的权利。</w:t>
      </w:r>
    </w:p>
    <w:p w14:paraId="0D1D85C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的义务</w:t>
      </w:r>
    </w:p>
    <w:p w14:paraId="6A5983F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及其工作人员不得索要或接受</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的礼金、有价证券和贵重物品，不得让</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报销任何应由</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或个人支付的费用等。</w:t>
      </w:r>
    </w:p>
    <w:p w14:paraId="093043BF">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工作人员不得参加</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安排的超标准宴请和娱乐活动；不得接受</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提供的通讯工具、交通工具和高档办公用品等。</w:t>
      </w:r>
    </w:p>
    <w:p w14:paraId="27E4D721">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及其工作人员不得要求或者接受</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为其住房装修、婚丧嫁娶活动、配偶子女的工作安排以及出国出境、旅游等提供方便等。</w:t>
      </w:r>
    </w:p>
    <w:p w14:paraId="6BE9CED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义务</w:t>
      </w:r>
    </w:p>
    <w:p w14:paraId="0365EA6B">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不得以任何理由向</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及其工作人员行贿或馈赠礼金、有价证券、贵重礼品。</w:t>
      </w:r>
    </w:p>
    <w:p w14:paraId="1D561AB0">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不得以任何名义为</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及其工作人员报销应由</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或个人支付的任何费用。</w:t>
      </w:r>
    </w:p>
    <w:p w14:paraId="13BF1270">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不得以任何理由安排</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工作人员参加超标准宴请及娱乐活动。</w:t>
      </w:r>
    </w:p>
    <w:p w14:paraId="3D54C2DC">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不得为</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和个人购置或提供通讯工具、交通工具和高档办公用品等。</w:t>
      </w:r>
    </w:p>
    <w:p w14:paraId="1BD43C5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4.违约责任</w:t>
      </w:r>
    </w:p>
    <w:p w14:paraId="60A27ACA">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及其工作人员违反本合同第一、二条，按管理权限，依据有关规定给予党纪、政纪处分或组织处理；涉嫌犯罪的，移交司法机关追究刑事责任；给</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造成经济损失的，应予以赔偿。</w:t>
      </w:r>
    </w:p>
    <w:p w14:paraId="51CF470B">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及其工作人员违反本合同第一、三条，按管理权限，依据有关规定给予党纪、政纪处分或组织处理；给</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造成经济损失的，应予以赔偿；情节严重的，</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建议住房和城乡建设部给予</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一至三年内不得进入其主管的工程建设市场的处罚。</w:t>
      </w:r>
    </w:p>
    <w:p w14:paraId="3E82A91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5.双方约定：本合同由双方或双方上级单位的纪检监察机关负责监督。由</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或</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上级单位的纪检监察机关约请</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或</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上级单位纪检监察机关对本合同履行情况进行检查，提出在本合同规定范围内的裁定意见。</w:t>
      </w:r>
    </w:p>
    <w:p w14:paraId="7B2C95D0">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6.本合同有效期限为双方签署之日起至</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rPr>
        <w:t>合同失效日止。</w:t>
      </w:r>
    </w:p>
    <w:p w14:paraId="7AA2F43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7.本合同作为</w:t>
      </w:r>
      <w:r>
        <w:rPr>
          <w:rFonts w:hint="eastAsia" w:ascii="宋体" w:hAnsi="宋体" w:eastAsia="宋体" w:cs="宋体"/>
          <w:color w:val="auto"/>
          <w:sz w:val="28"/>
          <w:szCs w:val="28"/>
          <w:highlight w:val="none"/>
          <w:lang w:eastAsia="zh-CN"/>
        </w:rPr>
        <w:t>河池市金城江城区排水防涝管网工程</w:t>
      </w:r>
      <w:r>
        <w:rPr>
          <w:rFonts w:hint="eastAsia" w:ascii="宋体" w:hAnsi="宋体" w:cs="宋体"/>
          <w:color w:val="auto"/>
          <w:sz w:val="28"/>
          <w:szCs w:val="28"/>
          <w:highlight w:val="none"/>
          <w:lang w:eastAsia="zh-CN"/>
        </w:rPr>
        <w:t>施工过程造价咨询</w:t>
      </w:r>
      <w:r>
        <w:rPr>
          <w:rFonts w:hint="eastAsia" w:ascii="宋体" w:hAnsi="宋体" w:eastAsia="宋体" w:cs="宋体"/>
          <w:color w:val="auto"/>
          <w:sz w:val="28"/>
          <w:szCs w:val="28"/>
          <w:highlight w:val="none"/>
          <w:lang w:val="en-US" w:eastAsia="zh-CN"/>
        </w:rPr>
        <w:t>合同</w:t>
      </w:r>
      <w:r>
        <w:rPr>
          <w:rFonts w:hint="eastAsia" w:ascii="宋体" w:hAnsi="宋体" w:eastAsia="宋体" w:cs="宋体"/>
          <w:color w:val="auto"/>
          <w:sz w:val="28"/>
          <w:szCs w:val="28"/>
          <w:highlight w:val="none"/>
        </w:rPr>
        <w:t>的附件，与</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rPr>
        <w:t>合同具有同等的法律效力，经合同双方代表签字、加盖公章后生效。</w:t>
      </w:r>
    </w:p>
    <w:p w14:paraId="71C60315">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8.本协议书一式</w:t>
      </w:r>
      <w:r>
        <w:rPr>
          <w:rFonts w:hint="eastAsia" w:ascii="宋体" w:hAnsi="宋体" w:eastAsia="宋体" w:cs="宋体"/>
          <w:color w:val="auto"/>
          <w:sz w:val="28"/>
          <w:szCs w:val="28"/>
          <w:highlight w:val="none"/>
          <w:u w:val="single"/>
          <w:lang w:val="en-US" w:eastAsia="zh-CN"/>
        </w:rPr>
        <w:t>肆</w:t>
      </w:r>
      <w:r>
        <w:rPr>
          <w:rFonts w:hint="eastAsia" w:ascii="宋体" w:hAnsi="宋体" w:eastAsia="宋体" w:cs="宋体"/>
          <w:color w:val="auto"/>
          <w:sz w:val="28"/>
          <w:szCs w:val="28"/>
          <w:highlight w:val="none"/>
        </w:rPr>
        <w:t>份，均具有同等法律效力，</w:t>
      </w:r>
      <w:r>
        <w:rPr>
          <w:rFonts w:hint="eastAsia" w:ascii="宋体" w:hAnsi="宋体" w:eastAsia="宋体" w:cs="宋体"/>
          <w:color w:val="auto"/>
          <w:sz w:val="28"/>
          <w:szCs w:val="28"/>
          <w:highlight w:val="none"/>
          <w:lang w:val="en-US" w:eastAsia="zh-CN"/>
        </w:rPr>
        <w:t>甲方</w:t>
      </w:r>
      <w:r>
        <w:rPr>
          <w:rFonts w:hint="eastAsia" w:ascii="宋体" w:hAnsi="宋体" w:eastAsia="宋体" w:cs="宋体"/>
          <w:color w:val="auto"/>
          <w:sz w:val="28"/>
          <w:szCs w:val="28"/>
          <w:highlight w:val="none"/>
        </w:rPr>
        <w:t>执</w:t>
      </w:r>
      <w:r>
        <w:rPr>
          <w:rFonts w:hint="eastAsia" w:ascii="宋体" w:hAnsi="宋体" w:eastAsia="宋体" w:cs="宋体"/>
          <w:color w:val="auto"/>
          <w:sz w:val="28"/>
          <w:szCs w:val="28"/>
          <w:highlight w:val="none"/>
          <w:u w:val="single"/>
          <w:lang w:val="en-US" w:eastAsia="zh-CN"/>
        </w:rPr>
        <w:t>贰</w:t>
      </w:r>
      <w:r>
        <w:rPr>
          <w:rFonts w:hint="eastAsia" w:ascii="宋体" w:hAnsi="宋体" w:eastAsia="宋体" w:cs="宋体"/>
          <w:color w:val="auto"/>
          <w:sz w:val="28"/>
          <w:szCs w:val="28"/>
          <w:highlight w:val="none"/>
        </w:rPr>
        <w:t>份，</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执</w:t>
      </w:r>
      <w:r>
        <w:rPr>
          <w:rFonts w:hint="eastAsia" w:ascii="宋体" w:hAnsi="宋体" w:eastAsia="宋体" w:cs="宋体"/>
          <w:color w:val="auto"/>
          <w:sz w:val="28"/>
          <w:szCs w:val="28"/>
          <w:highlight w:val="none"/>
          <w:u w:val="single"/>
          <w:lang w:val="en-US" w:eastAsia="zh-CN"/>
        </w:rPr>
        <w:t>贰</w:t>
      </w:r>
      <w:r>
        <w:rPr>
          <w:rFonts w:hint="eastAsia" w:ascii="宋体" w:hAnsi="宋体" w:eastAsia="宋体" w:cs="宋体"/>
          <w:color w:val="auto"/>
          <w:sz w:val="28"/>
          <w:szCs w:val="28"/>
          <w:highlight w:val="none"/>
        </w:rPr>
        <w:t>份。</w:t>
      </w:r>
    </w:p>
    <w:p w14:paraId="7418031F">
      <w:pPr>
        <w:pStyle w:val="7"/>
        <w:rPr>
          <w:color w:val="auto"/>
          <w:highlight w:val="none"/>
        </w:rPr>
      </w:pPr>
    </w:p>
    <w:p w14:paraId="2FC8A375">
      <w:pPr>
        <w:pStyle w:val="7"/>
        <w:rPr>
          <w:color w:val="auto"/>
          <w:highlight w:val="none"/>
        </w:rPr>
      </w:pPr>
    </w:p>
    <w:tbl>
      <w:tblPr>
        <w:tblStyle w:val="10"/>
        <w:tblpPr w:leftFromText="180" w:rightFromText="180" w:vertAnchor="text" w:horzAnchor="page" w:tblpX="1739" w:tblpY="753"/>
        <w:tblOverlap w:val="never"/>
        <w:tblW w:w="8859" w:type="dxa"/>
        <w:tblInd w:w="0" w:type="dxa"/>
        <w:tblLayout w:type="fixed"/>
        <w:tblCellMar>
          <w:top w:w="0" w:type="dxa"/>
          <w:left w:w="108" w:type="dxa"/>
          <w:bottom w:w="0" w:type="dxa"/>
          <w:right w:w="108" w:type="dxa"/>
        </w:tblCellMar>
      </w:tblPr>
      <w:tblGrid>
        <w:gridCol w:w="4430"/>
        <w:gridCol w:w="4429"/>
      </w:tblGrid>
      <w:tr w14:paraId="331E4807">
        <w:tblPrEx>
          <w:tblCellMar>
            <w:top w:w="0" w:type="dxa"/>
            <w:left w:w="108" w:type="dxa"/>
            <w:bottom w:w="0" w:type="dxa"/>
            <w:right w:w="108" w:type="dxa"/>
          </w:tblCellMar>
        </w:tblPrEx>
        <w:trPr>
          <w:trHeight w:val="1013" w:hRule="atLeast"/>
        </w:trPr>
        <w:tc>
          <w:tcPr>
            <w:tcW w:w="4430" w:type="dxa"/>
            <w:shd w:val="clear" w:color="auto" w:fill="FFFFFF"/>
            <w:noWrap/>
            <w:vAlign w:val="center"/>
          </w:tcPr>
          <w:p w14:paraId="1F74DF27">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4129903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429" w:type="dxa"/>
            <w:shd w:val="clear" w:color="auto" w:fill="FFFFFF"/>
            <w:noWrap/>
            <w:vAlign w:val="center"/>
          </w:tcPr>
          <w:p w14:paraId="3148291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32F3EBAF">
            <w:pPr>
              <w:pStyle w:val="23"/>
              <w:keepNext w:val="0"/>
              <w:keepLines w:val="0"/>
              <w:suppressLineNumbers w:val="0"/>
              <w:spacing w:before="0" w:beforeAutospacing="0" w:after="0" w:afterAutospacing="0"/>
              <w:ind w:left="0" w:right="0"/>
              <w:rPr>
                <w:color w:val="auto"/>
                <w:highlight w:val="none"/>
              </w:rPr>
            </w:pPr>
          </w:p>
        </w:tc>
      </w:tr>
      <w:tr w14:paraId="6F7E226D">
        <w:tblPrEx>
          <w:tblCellMar>
            <w:top w:w="0" w:type="dxa"/>
            <w:left w:w="108" w:type="dxa"/>
            <w:bottom w:w="0" w:type="dxa"/>
            <w:right w:w="108" w:type="dxa"/>
          </w:tblCellMar>
        </w:tblPrEx>
        <w:trPr>
          <w:trHeight w:val="1011" w:hRule="atLeast"/>
        </w:trPr>
        <w:tc>
          <w:tcPr>
            <w:tcW w:w="4430" w:type="dxa"/>
            <w:shd w:val="clear" w:color="auto" w:fill="FFFFFF"/>
            <w:noWrap/>
            <w:vAlign w:val="center"/>
          </w:tcPr>
          <w:p w14:paraId="2DDA3D48">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4747840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429" w:type="dxa"/>
            <w:shd w:val="clear" w:color="auto" w:fill="FFFFFF"/>
            <w:noWrap/>
            <w:vAlign w:val="center"/>
          </w:tcPr>
          <w:p w14:paraId="0DB34BD2">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25CB769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64C268D4">
        <w:tblPrEx>
          <w:tblCellMar>
            <w:top w:w="0" w:type="dxa"/>
            <w:left w:w="108" w:type="dxa"/>
            <w:bottom w:w="0" w:type="dxa"/>
            <w:right w:w="108" w:type="dxa"/>
          </w:tblCellMar>
        </w:tblPrEx>
        <w:trPr>
          <w:trHeight w:val="506" w:hRule="atLeast"/>
        </w:trPr>
        <w:tc>
          <w:tcPr>
            <w:tcW w:w="4430" w:type="dxa"/>
            <w:shd w:val="clear" w:color="auto" w:fill="FFFFFF"/>
            <w:noWrap/>
            <w:vAlign w:val="center"/>
          </w:tcPr>
          <w:p w14:paraId="3F9189B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429" w:type="dxa"/>
            <w:shd w:val="clear" w:color="auto" w:fill="FFFFFF"/>
            <w:noWrap/>
            <w:vAlign w:val="center"/>
          </w:tcPr>
          <w:p w14:paraId="0857F9C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59D89CD4">
        <w:tblPrEx>
          <w:tblCellMar>
            <w:top w:w="0" w:type="dxa"/>
            <w:left w:w="108" w:type="dxa"/>
            <w:bottom w:w="0" w:type="dxa"/>
            <w:right w:w="108" w:type="dxa"/>
          </w:tblCellMar>
        </w:tblPrEx>
        <w:trPr>
          <w:trHeight w:val="574" w:hRule="atLeast"/>
        </w:trPr>
        <w:tc>
          <w:tcPr>
            <w:tcW w:w="4430" w:type="dxa"/>
            <w:shd w:val="clear" w:color="auto" w:fill="FFFFFF"/>
            <w:noWrap/>
            <w:vAlign w:val="center"/>
          </w:tcPr>
          <w:p w14:paraId="42DF7427">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429" w:type="dxa"/>
            <w:shd w:val="clear" w:color="auto" w:fill="FFFFFF"/>
            <w:noWrap/>
            <w:vAlign w:val="center"/>
          </w:tcPr>
          <w:p w14:paraId="3A7ACA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2C240A10">
        <w:tblPrEx>
          <w:tblCellMar>
            <w:top w:w="0" w:type="dxa"/>
            <w:left w:w="108" w:type="dxa"/>
            <w:bottom w:w="0" w:type="dxa"/>
            <w:right w:w="108" w:type="dxa"/>
          </w:tblCellMar>
        </w:tblPrEx>
        <w:trPr>
          <w:trHeight w:val="1011" w:hRule="atLeast"/>
        </w:trPr>
        <w:tc>
          <w:tcPr>
            <w:tcW w:w="4430" w:type="dxa"/>
            <w:shd w:val="clear" w:color="auto" w:fill="FFFFFF"/>
            <w:noWrap/>
            <w:vAlign w:val="center"/>
          </w:tcPr>
          <w:p w14:paraId="22449E67">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07DE628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429" w:type="dxa"/>
            <w:shd w:val="clear" w:color="auto" w:fill="FFFFFF"/>
            <w:noWrap/>
            <w:vAlign w:val="center"/>
          </w:tcPr>
          <w:p w14:paraId="5E347187">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18B49EB3">
        <w:tblPrEx>
          <w:tblCellMar>
            <w:top w:w="0" w:type="dxa"/>
            <w:left w:w="108" w:type="dxa"/>
            <w:bottom w:w="0" w:type="dxa"/>
            <w:right w:w="108" w:type="dxa"/>
          </w:tblCellMar>
        </w:tblPrEx>
        <w:trPr>
          <w:trHeight w:val="573" w:hRule="atLeast"/>
        </w:trPr>
        <w:tc>
          <w:tcPr>
            <w:tcW w:w="4430" w:type="dxa"/>
            <w:shd w:val="clear" w:color="auto" w:fill="FFFFFF"/>
            <w:noWrap/>
            <w:vAlign w:val="center"/>
          </w:tcPr>
          <w:p w14:paraId="3E2753FD">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429" w:type="dxa"/>
            <w:shd w:val="clear" w:color="auto" w:fill="FFFFFF"/>
            <w:noWrap/>
            <w:vAlign w:val="center"/>
          </w:tcPr>
          <w:p w14:paraId="08DD9F2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113BAF58">
        <w:tblPrEx>
          <w:tblCellMar>
            <w:top w:w="0" w:type="dxa"/>
            <w:left w:w="108" w:type="dxa"/>
            <w:bottom w:w="0" w:type="dxa"/>
            <w:right w:w="108" w:type="dxa"/>
          </w:tblCellMar>
        </w:tblPrEx>
        <w:trPr>
          <w:trHeight w:val="1011" w:hRule="atLeast"/>
        </w:trPr>
        <w:tc>
          <w:tcPr>
            <w:tcW w:w="4430" w:type="dxa"/>
            <w:shd w:val="clear" w:color="auto" w:fill="FFFFFF"/>
            <w:noWrap/>
            <w:vAlign w:val="center"/>
          </w:tcPr>
          <w:p w14:paraId="72C047D1">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33148FD">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429" w:type="dxa"/>
            <w:shd w:val="clear" w:color="auto" w:fill="FFFFFF"/>
            <w:noWrap/>
            <w:vAlign w:val="center"/>
          </w:tcPr>
          <w:p w14:paraId="1D22B39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2AB64AB9">
        <w:tblPrEx>
          <w:tblCellMar>
            <w:top w:w="0" w:type="dxa"/>
            <w:left w:w="108" w:type="dxa"/>
            <w:bottom w:w="0" w:type="dxa"/>
            <w:right w:w="108" w:type="dxa"/>
          </w:tblCellMar>
        </w:tblPrEx>
        <w:trPr>
          <w:trHeight w:val="1011" w:hRule="atLeast"/>
        </w:trPr>
        <w:tc>
          <w:tcPr>
            <w:tcW w:w="4430" w:type="dxa"/>
            <w:shd w:val="clear" w:color="auto" w:fill="FFFFFF"/>
            <w:noWrap/>
            <w:vAlign w:val="center"/>
          </w:tcPr>
          <w:p w14:paraId="7F072B04">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60E6B1C2">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429" w:type="dxa"/>
            <w:shd w:val="clear" w:color="auto" w:fill="FFFFFF"/>
            <w:noWrap/>
            <w:vAlign w:val="center"/>
          </w:tcPr>
          <w:p w14:paraId="05ADADE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7322336D">
        <w:tblPrEx>
          <w:tblCellMar>
            <w:top w:w="0" w:type="dxa"/>
            <w:left w:w="108" w:type="dxa"/>
            <w:bottom w:w="0" w:type="dxa"/>
            <w:right w:w="108" w:type="dxa"/>
          </w:tblCellMar>
        </w:tblPrEx>
        <w:trPr>
          <w:trHeight w:val="1011" w:hRule="atLeast"/>
        </w:trPr>
        <w:tc>
          <w:tcPr>
            <w:tcW w:w="4430" w:type="dxa"/>
            <w:shd w:val="clear" w:color="auto" w:fill="FFFFFF"/>
            <w:noWrap/>
            <w:vAlign w:val="center"/>
          </w:tcPr>
          <w:p w14:paraId="5DAC91DF">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p>
          <w:p w14:paraId="50263997">
            <w:pPr>
              <w:keepNext w:val="0"/>
              <w:keepLines w:val="0"/>
              <w:suppressLineNumbers w:val="0"/>
              <w:spacing w:before="0" w:beforeAutospacing="0" w:after="0" w:afterAutospacing="0" w:line="520" w:lineRule="exact"/>
              <w:ind w:left="0" w:right="0"/>
              <w:rPr>
                <w:color w:val="auto"/>
                <w:highlight w:val="none"/>
              </w:rPr>
            </w:pPr>
            <w:r>
              <w:rPr>
                <w:rFonts w:hint="eastAsia" w:ascii="宋体" w:hAnsi="宋体" w:eastAsia="宋体" w:cs="宋体"/>
                <w:color w:val="auto"/>
                <w:sz w:val="28"/>
                <w:szCs w:val="28"/>
                <w:highlight w:val="none"/>
                <w:u w:val="none"/>
                <w:lang w:val="en-US" w:eastAsia="zh-CN"/>
              </w:rPr>
              <w:t>7300 0500 0000 0001 4504</w:t>
            </w:r>
          </w:p>
        </w:tc>
        <w:tc>
          <w:tcPr>
            <w:tcW w:w="4429" w:type="dxa"/>
            <w:shd w:val="clear" w:color="auto" w:fill="FFFFFF"/>
            <w:noWrap/>
            <w:vAlign w:val="center"/>
          </w:tcPr>
          <w:p w14:paraId="524E2DE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4D1FF296">
        <w:tblPrEx>
          <w:tblCellMar>
            <w:top w:w="0" w:type="dxa"/>
            <w:left w:w="108" w:type="dxa"/>
            <w:bottom w:w="0" w:type="dxa"/>
            <w:right w:w="108" w:type="dxa"/>
          </w:tblCellMar>
        </w:tblPrEx>
        <w:trPr>
          <w:trHeight w:val="1011" w:hRule="atLeast"/>
        </w:trPr>
        <w:tc>
          <w:tcPr>
            <w:tcW w:w="4430" w:type="dxa"/>
            <w:shd w:val="clear" w:color="auto" w:fill="FFFFFF"/>
            <w:noWrap/>
            <w:vAlign w:val="center"/>
          </w:tcPr>
          <w:p w14:paraId="6EF703AB">
            <w:pPr>
              <w:keepNext w:val="0"/>
              <w:keepLines w:val="0"/>
              <w:suppressLineNumbers w:val="0"/>
              <w:spacing w:before="0" w:beforeAutospacing="0" w:after="0" w:afterAutospacing="0" w:line="520" w:lineRule="exact"/>
              <w:ind w:left="0" w:right="0"/>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429" w:type="dxa"/>
            <w:shd w:val="clear" w:color="auto" w:fill="FFFFFF"/>
            <w:noWrap/>
            <w:vAlign w:val="center"/>
          </w:tcPr>
          <w:p w14:paraId="210AE8C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1BCA4D15">
        <w:tblPrEx>
          <w:tblCellMar>
            <w:top w:w="0" w:type="dxa"/>
            <w:left w:w="108" w:type="dxa"/>
            <w:bottom w:w="0" w:type="dxa"/>
            <w:right w:w="108" w:type="dxa"/>
          </w:tblCellMar>
        </w:tblPrEx>
        <w:trPr>
          <w:trHeight w:val="574" w:hRule="atLeast"/>
        </w:trPr>
        <w:tc>
          <w:tcPr>
            <w:tcW w:w="8859" w:type="dxa"/>
            <w:gridSpan w:val="2"/>
            <w:shd w:val="clear" w:color="auto" w:fill="FFFFFF"/>
            <w:noWrap/>
            <w:vAlign w:val="center"/>
          </w:tcPr>
          <w:p w14:paraId="73F73FB5">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303F9E1C">
      <w:pPr>
        <w:rPr>
          <w:rFonts w:hint="eastAsia" w:ascii="仿宋" w:hAnsi="仿宋" w:eastAsia="仿宋" w:cs="仿宋"/>
          <w:color w:val="auto"/>
          <w:sz w:val="30"/>
          <w:szCs w:val="30"/>
          <w:highlight w:val="none"/>
        </w:rPr>
      </w:pPr>
    </w:p>
    <w:p w14:paraId="293B0830">
      <w:pPr>
        <w:tabs>
          <w:tab w:val="left" w:pos="1809"/>
        </w:tabs>
        <w:bidi w:val="0"/>
        <w:jc w:val="left"/>
        <w:rPr>
          <w:rFonts w:hint="eastAsia"/>
          <w:color w:val="auto"/>
          <w:highlight w:val="none"/>
          <w:lang w:val="en-US" w:eastAsia="zh-CN"/>
        </w:rPr>
      </w:pPr>
    </w:p>
    <w:sectPr>
      <w:headerReference r:id="rId5" w:type="default"/>
      <w:footerReference r:id="rId6" w:type="default"/>
      <w:pgSz w:w="11906" w:h="16838"/>
      <w:pgMar w:top="2098"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黑体">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2C4D8">
    <w:pPr>
      <w:pStyle w:val="7"/>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D7A17F">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D7A17F">
                    <w:pPr>
                      <w:pStyle w:val="7"/>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9F0F6">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01029A">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01029A">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7CAF9">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141B4">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3B4018"/>
    <w:multiLevelType w:val="singleLevel"/>
    <w:tmpl w:val="713B4018"/>
    <w:lvl w:ilvl="0" w:tentative="0">
      <w:start w:val="1"/>
      <w:numFmt w:val="upperLetter"/>
      <w:pStyle w:val="2"/>
      <w:lvlText w:val="%1."/>
      <w:lvlJc w:val="left"/>
      <w:pPr>
        <w:tabs>
          <w:tab w:val="left" w:pos="315"/>
        </w:tabs>
        <w:ind w:left="315" w:hanging="31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NjZlMGZkMGY2ZDhhNjhhYzM2ZWNkZGQ1NTkwMzkifQ=="/>
  </w:docVars>
  <w:rsids>
    <w:rsidRoot w:val="53944F5A"/>
    <w:rsid w:val="0052726E"/>
    <w:rsid w:val="01883901"/>
    <w:rsid w:val="03576C1A"/>
    <w:rsid w:val="088C56C8"/>
    <w:rsid w:val="09183888"/>
    <w:rsid w:val="10801226"/>
    <w:rsid w:val="12FD73A6"/>
    <w:rsid w:val="16D40F0B"/>
    <w:rsid w:val="1EB647CE"/>
    <w:rsid w:val="1F6148E5"/>
    <w:rsid w:val="20AA57CF"/>
    <w:rsid w:val="22A63D70"/>
    <w:rsid w:val="22F3650C"/>
    <w:rsid w:val="22F93949"/>
    <w:rsid w:val="23FD0CBE"/>
    <w:rsid w:val="25657549"/>
    <w:rsid w:val="259B1656"/>
    <w:rsid w:val="28476911"/>
    <w:rsid w:val="285B7229"/>
    <w:rsid w:val="29435CBF"/>
    <w:rsid w:val="29D06CB4"/>
    <w:rsid w:val="2B4125A4"/>
    <w:rsid w:val="2BC5112A"/>
    <w:rsid w:val="2DA359FB"/>
    <w:rsid w:val="2EFD6181"/>
    <w:rsid w:val="341A0E58"/>
    <w:rsid w:val="35BD5A9A"/>
    <w:rsid w:val="378E1D53"/>
    <w:rsid w:val="382A3E18"/>
    <w:rsid w:val="39CD01E2"/>
    <w:rsid w:val="3A455068"/>
    <w:rsid w:val="3CB14EAA"/>
    <w:rsid w:val="431A331F"/>
    <w:rsid w:val="489B36CC"/>
    <w:rsid w:val="4EAD2033"/>
    <w:rsid w:val="4EC37B11"/>
    <w:rsid w:val="4EF10D13"/>
    <w:rsid w:val="52B44B4B"/>
    <w:rsid w:val="52C04A22"/>
    <w:rsid w:val="53944F5A"/>
    <w:rsid w:val="54A71DA8"/>
    <w:rsid w:val="56594AC8"/>
    <w:rsid w:val="577E66ED"/>
    <w:rsid w:val="5C5D7389"/>
    <w:rsid w:val="5CCB326A"/>
    <w:rsid w:val="5E2518EA"/>
    <w:rsid w:val="616F7CA4"/>
    <w:rsid w:val="629A6A14"/>
    <w:rsid w:val="652A4208"/>
    <w:rsid w:val="65956E9C"/>
    <w:rsid w:val="66BE3D8D"/>
    <w:rsid w:val="674E5150"/>
    <w:rsid w:val="6BAA3315"/>
    <w:rsid w:val="6BE72DB3"/>
    <w:rsid w:val="6E3E67F4"/>
    <w:rsid w:val="6ED26538"/>
    <w:rsid w:val="71992234"/>
    <w:rsid w:val="74770004"/>
    <w:rsid w:val="74BD25E4"/>
    <w:rsid w:val="789165C7"/>
    <w:rsid w:val="79483E82"/>
    <w:rsid w:val="7AE53FCA"/>
    <w:rsid w:val="7D481959"/>
    <w:rsid w:val="7DE46BC8"/>
    <w:rsid w:val="7EF3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numPr>
        <w:ilvl w:val="0"/>
        <w:numId w:val="1"/>
      </w:numPr>
      <w:spacing w:line="360" w:lineRule="auto"/>
      <w:outlineLvl w:val="1"/>
    </w:pPr>
    <w:rPr>
      <w:b/>
      <w:sz w:val="24"/>
      <w:szCs w:val="20"/>
    </w:rPr>
  </w:style>
  <w:style w:type="paragraph" w:styleId="3">
    <w:name w:val="heading 3"/>
    <w:basedOn w:val="1"/>
    <w:next w:val="1"/>
    <w:autoRedefine/>
    <w:qFormat/>
    <w:uiPriority w:val="0"/>
    <w:pPr>
      <w:keepNext/>
      <w:keepLines/>
      <w:spacing w:before="260" w:beforeLines="0" w:after="260" w:afterLines="0" w:line="413" w:lineRule="auto"/>
      <w:outlineLvl w:val="2"/>
    </w:pPr>
    <w:rPr>
      <w:rFonts w:cs="Times New Roman"/>
      <w:b/>
      <w:bCs/>
      <w:sz w:val="32"/>
      <w:szCs w:val="32"/>
    </w:rPr>
  </w:style>
  <w:style w:type="character" w:default="1" w:styleId="11">
    <w:name w:val="Default Paragraph Font"/>
    <w:autoRedefine/>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4"/>
    <w:qFormat/>
    <w:uiPriority w:val="0"/>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5">
    <w:name w:val="Body Text"/>
    <w:basedOn w:val="1"/>
    <w:next w:val="6"/>
    <w:link w:val="16"/>
    <w:qFormat/>
    <w:uiPriority w:val="0"/>
    <w:pPr>
      <w:spacing w:after="120"/>
    </w:pPr>
  </w:style>
  <w:style w:type="paragraph" w:styleId="6">
    <w:name w:val="toc 2"/>
    <w:basedOn w:val="1"/>
    <w:next w:val="1"/>
    <w:semiHidden/>
    <w:qFormat/>
    <w:uiPriority w:val="0"/>
    <w:pPr>
      <w:ind w:left="210"/>
      <w:jc w:val="left"/>
    </w:pPr>
    <w:rPr>
      <w:rFonts w:ascii="Times New Roman" w:hAnsi="Times New Roman"/>
      <w:smallCaps/>
      <w:sz w:val="20"/>
    </w:rPr>
  </w:style>
  <w:style w:type="paragraph" w:styleId="7">
    <w:name w:val="footer"/>
    <w:basedOn w:val="1"/>
    <w:link w:val="15"/>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批注文字 Char"/>
    <w:basedOn w:val="11"/>
    <w:link w:val="4"/>
    <w:qFormat/>
    <w:uiPriority w:val="0"/>
    <w:rPr>
      <w:kern w:val="2"/>
      <w:sz w:val="21"/>
    </w:rPr>
  </w:style>
  <w:style w:type="character" w:customStyle="1" w:styleId="15">
    <w:name w:val="页脚 Char"/>
    <w:basedOn w:val="11"/>
    <w:link w:val="7"/>
    <w:qFormat/>
    <w:uiPriority w:val="0"/>
    <w:rPr>
      <w:kern w:val="2"/>
      <w:sz w:val="18"/>
    </w:rPr>
  </w:style>
  <w:style w:type="character" w:customStyle="1" w:styleId="16">
    <w:name w:val="正文文本 Char"/>
    <w:basedOn w:val="11"/>
    <w:link w:val="5"/>
    <w:qFormat/>
    <w:uiPriority w:val="0"/>
    <w:rPr>
      <w:rFonts w:hint="eastAsia" w:ascii="金山简黑体" w:hAnsi="Courier New" w:eastAsia="金山简黑体" w:cs="金山简黑体"/>
      <w:b/>
      <w:spacing w:val="-8"/>
      <w:kern w:val="2"/>
      <w:sz w:val="44"/>
    </w:rPr>
  </w:style>
  <w:style w:type="paragraph" w:customStyle="1" w:styleId="17">
    <w:name w:val="正文_0"/>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文本_0"/>
    <w:basedOn w:val="17"/>
    <w:qFormat/>
    <w:uiPriority w:val="0"/>
    <w:pPr>
      <w:spacing w:after="120" w:afterLines="0"/>
    </w:pPr>
  </w:style>
  <w:style w:type="paragraph" w:customStyle="1" w:styleId="19">
    <w:name w:val="引言二级条标题"/>
    <w:basedOn w:val="20"/>
    <w:next w:val="21"/>
    <w:qFormat/>
    <w:uiPriority w:val="0"/>
    <w:pPr>
      <w:ind w:left="0" w:firstLine="0"/>
    </w:pPr>
    <w:rPr>
      <w:rFonts w:eastAsia="宋体"/>
    </w:rPr>
  </w:style>
  <w:style w:type="paragraph" w:customStyle="1" w:styleId="20">
    <w:name w:val="引言一级条标题"/>
    <w:basedOn w:val="1"/>
    <w:next w:val="21"/>
    <w:qFormat/>
    <w:uiPriority w:val="0"/>
    <w:pPr>
      <w:widowControl/>
      <w:spacing w:beforeAutospacing="1" w:afterAutospacing="1"/>
      <w:ind w:left="900" w:hanging="900"/>
    </w:pPr>
    <w:rPr>
      <w:rFonts w:eastAsia="黑体"/>
      <w:b/>
      <w:bCs/>
    </w:rPr>
  </w:style>
  <w:style w:type="paragraph" w:customStyle="1" w:styleId="2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9191</Words>
  <Characters>9756</Characters>
  <Lines>0</Lines>
  <Paragraphs>0</Paragraphs>
  <TotalTime>0</TotalTime>
  <ScaleCrop>false</ScaleCrop>
  <LinksUpToDate>false</LinksUpToDate>
  <CharactersWithSpaces>10469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2022-05-05T07:27:00Z</dcterms:created>
  <dc:creator>第二工程公司</dc:creator>
  <cp:lastModifiedBy>caizhao</cp:lastModifiedBy>
  <cp:lastPrinted>2024-08-06T03:13:00Z</cp:lastPrinted>
  <dcterms:modified xsi:type="dcterms:W3CDTF">2025-06-26T08:11:34Z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93B22FD939E04AE0BB96DDA311B5FBAD_13</vt:lpwstr>
  </property>
  <property fmtid="{D5CDD505-2E9C-101B-9397-08002B2CF9AE}" pid="4" name="KSOTemplateDocerSaveRecord">
    <vt:lpwstr>eyJoZGlkIjoiMTFkMTI4ODJmZDg2MjcwMGFmMWQ0OWYyNzI2YmE2NTgiLCJ1c2VySWQiOiIxMTM3OTc2MzU4In0=</vt:lpwstr>
  </property>
</Properties>
</file>